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56B7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56B79" w:rsidRDefault="00DE525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56B79" w:rsidRDefault="00DE5255">
            <w:pPr>
              <w:spacing w:after="0" w:line="240" w:lineRule="auto"/>
            </w:pPr>
            <w:r>
              <w:t>1038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56B79" w:rsidRDefault="00DE525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56B79" w:rsidRDefault="00DE5255">
            <w:pPr>
              <w:spacing w:after="0" w:line="240" w:lineRule="auto"/>
            </w:pPr>
            <w:r>
              <w:t>TIFLOLOŠKI MUZEJ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56B79" w:rsidRDefault="00DE525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56B79" w:rsidRDefault="00DE5255">
            <w:pPr>
              <w:spacing w:after="0" w:line="240" w:lineRule="auto"/>
            </w:pPr>
            <w:r>
              <w:t>11</w:t>
            </w:r>
          </w:p>
        </w:tc>
      </w:tr>
    </w:tbl>
    <w:p w:rsidR="00756B79" w:rsidRDefault="00DE5255">
      <w:r>
        <w:br/>
      </w:r>
    </w:p>
    <w:p w:rsidR="00756B79" w:rsidRDefault="00DE525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56B79" w:rsidRDefault="00DE525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56B79" w:rsidRDefault="00DE525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56B79" w:rsidRDefault="00756B79"/>
    <w:p w:rsidR="00756B79" w:rsidRDefault="00DE525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506.869,29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628.702,88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519.970,34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619.774,68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756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8.928,20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8.337,03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12.093,92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756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OD </w:t>
            </w:r>
            <w:r>
              <w:rPr>
                <w:b/>
                <w:sz w:val="18"/>
              </w:rPr>
              <w:t>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8.337,03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12.093,92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145,1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756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756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21.438,08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3.165,72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14,8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U razdoblju od 1. siječnja do 31. prosinca 2025. godine su ostvareni prihodi poslovanja u iznosu 628.702,88 EUR i rashodi poslovanja u iznosu 619.774,68 EUR.  U istom razdoblju je ostvaren rashod za nabavu nefinancijske imovine u iznosu 12.093,92 EUR. </w:t>
      </w:r>
    </w:p>
    <w:p w:rsidR="00756B79" w:rsidRDefault="00DE5255">
      <w:r>
        <w:t>U n</w:t>
      </w:r>
      <w:r>
        <w:t>avedenom razdoblju nije bilo ostvarenih primitaka i izdataka od financijske imovine i zaduživanja.</w:t>
      </w:r>
    </w:p>
    <w:p w:rsidR="00756B79" w:rsidRDefault="00DE5255">
      <w:r>
        <w:lastRenderedPageBreak/>
        <w:t>Ostvaren je višak prihoda poslovanja u iznosu od 8.928,20 EUR, manjak prihoda od nefinancijske imovine u iznosu 12.093,92 EUR, slijedom čega je na kraju izvj</w:t>
      </w:r>
      <w:r>
        <w:t>eštajnog razdoblja ostvaren ukupan manjak prihoda i primitaka u iznosu 3.165,72 EUR.</w:t>
      </w:r>
    </w:p>
    <w:p w:rsidR="00756B79" w:rsidRDefault="00756B79"/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406.935,06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471.737,53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Rashodi za zaposlene su u 2025. godini ostvareni u iznosu 471.737,53 EUR, odnosno 15,9% više u odnosu na ostvarene rashode u prethodnoj godini. Na povećanje rashoda je najvećim dijelom utjecalo povećanje broja zaposlenih (dva nova zaposlenika), novog Zakon</w:t>
      </w:r>
      <w:r>
        <w:t>a o plaćama u javnim službama, novog Pravilnika o unutarnjem ustrojstvu i načinu rada muzeja i povećanja osnovice za obračun plaće,.</w:t>
      </w:r>
    </w:p>
    <w:p w:rsidR="00792BA8" w:rsidRDefault="00792BA8">
      <w:pPr>
        <w:keepNext/>
        <w:spacing w:line="240" w:lineRule="auto"/>
        <w:jc w:val="center"/>
        <w:rPr>
          <w:sz w:val="28"/>
        </w:rPr>
      </w:pPr>
    </w:p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10.324,49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9.940,28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96,3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Naknade troškova zaposlenima u 2025. godini iznose 9.940,28 EUR, odnosno 3,7% manje u odnosu 2024. godinu. Na smanjenje troškova najvećim je dijelom utjecao manji broj ostavarenih službenih putovanja u tekućoj godini.</w:t>
      </w:r>
    </w:p>
    <w:p w:rsidR="00756B79" w:rsidRDefault="00756B79"/>
    <w:p w:rsidR="00792BA8" w:rsidRDefault="00792BA8"/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25.191,96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18.883,48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Rashodi za materijal i energiju su u 2025. godini iznosili 18.883,48 EUR, odnosno 25% manje u odnosu na ostvarene rashode u 2024 godini. Na smanjenje je najvećim dijelom utjecala smanjena potrošnja električne energije.</w:t>
      </w:r>
    </w:p>
    <w:p w:rsidR="00756B79" w:rsidRDefault="00756B79"/>
    <w:p w:rsidR="00756B79" w:rsidRDefault="00DE525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75.532,67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115.654,08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153,1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Rashodi za usluge  su u 2025. godini iznosili 115.654,08 EUR, odnosno 53,1 % više u odnosu na ostvarene rashode u prethodnoj godini. Na povećanje rashoda najvećim je dijelom utjecalo povećanje  najamnine za prostor muzeja sukladno postignutom dogovoru izme</w:t>
      </w:r>
      <w:r>
        <w:t>đu najmodavca i  Ministarstva kulture i medija i nas.</w:t>
      </w:r>
    </w:p>
    <w:p w:rsidR="00756B79" w:rsidRDefault="00756B79"/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</w:t>
            </w:r>
            <w:r>
              <w:rPr>
                <w:sz w:val="18"/>
              </w:rPr>
              <w:t>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8.337,03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12.093,92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Na stavci rashodi za nabavu  nefinancijske imovine zabilježen je rast 45,1% u odnosu na prethodnu godinu. Na povećanje rashoda najvećim je dijelom utjecala realizacija posebnog programa Investicije - nabava sustava protuprovale u iznosu 6.518,24 EUR eviden</w:t>
      </w:r>
      <w:r>
        <w:t>tiranog na kontu 4124 i aplikacije za uredsko poslovanje u iznosu 937,50 EUR na kontu 4123.</w:t>
      </w:r>
    </w:p>
    <w:p w:rsidR="00756B79" w:rsidRDefault="00756B79"/>
    <w:p w:rsidR="00792BA8" w:rsidRDefault="00792BA8"/>
    <w:p w:rsidR="00756B79" w:rsidRDefault="00DE5255">
      <w:pPr>
        <w:keepNext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Bilanca</w:t>
      </w:r>
    </w:p>
    <w:p w:rsidR="00427FE7" w:rsidRDefault="00427FE7">
      <w:pPr>
        <w:keepNext/>
        <w:spacing w:line="240" w:lineRule="auto"/>
        <w:jc w:val="center"/>
      </w:pPr>
      <w:bookmarkStart w:id="0" w:name="_GoBack"/>
      <w:bookmarkEnd w:id="0"/>
    </w:p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392.704,89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360.710,32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91,9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Nefinancijska imovina je u 2025.godini smanjena za 8,1 %, na što je utjecalo evidentiranje ispravka vrijednosti dugotrajne imovine u iznosu 44.088,49 EUR i nabava nove dugotrajne imovine u iznosu 12.093,92 EUR</w:t>
      </w:r>
    </w:p>
    <w:p w:rsidR="00756B79" w:rsidRDefault="00756B79"/>
    <w:p w:rsidR="00792BA8" w:rsidRDefault="00792BA8"/>
    <w:p w:rsidR="00756B79" w:rsidRDefault="00DE5255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32.207,95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33.807,32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Stanje novca u banci i blagajni na 31.12.2025. iznosi 33.807,32 EUR.</w:t>
      </w:r>
    </w:p>
    <w:p w:rsidR="00756B79" w:rsidRDefault="00756B79"/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38.005,11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43.219,69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Obaveze za rashode poslovanja su u odnosu na prošlu godinu veće za 13,7%, a sastoje se od obaveza za plaću za 12/2025 i nedospjelih računa dobavljača iz 2025. godine.</w:t>
      </w:r>
    </w:p>
    <w:p w:rsidR="00756B79" w:rsidRDefault="00756B79"/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i ispravak vlastitih izvora (šifre 911-912)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392.704,89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360.710,32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91,9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Vlastiti izvori su u 2025.godini smanjeni za 8,1 %, na što je utjecalo evidentiranje ispravka vrijednosti dugotrajne imovine u iznosu 44.088,49 EUR i nabava nove dugotrajne imovine u iznosu 12.093,92 EUR.</w:t>
      </w:r>
    </w:p>
    <w:p w:rsidR="00756B79" w:rsidRDefault="00756B79"/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-4.346,81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-7.512,53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172,8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Na poziciji 922 je kao rezultat iskazan manjak u iznosu 7.512,53 EUR</w:t>
      </w:r>
    </w:p>
    <w:p w:rsidR="00756B79" w:rsidRDefault="00DE5255">
      <w:r>
        <w:t>Tu je obavljena korekcija rezultata redovnog poslovanja zbog kapitalnih prijenosa sredstava kojima su financirane nabave nefinancijske imovine u iznosu 10.763,99 EUR.</w:t>
      </w:r>
    </w:p>
    <w:p w:rsidR="00756B79" w:rsidRDefault="00DE5255">
      <w:r>
        <w:t>Podaci u bilanci iskazani su nakon obvezne korekcije rezultata sukladno čl.215. Pravilnik</w:t>
      </w:r>
      <w:r>
        <w:t xml:space="preserve">a o proračunskom računovodstvu te je iskazan manjak prihoda poslovanja u iznosu 6.182,60 EUR </w:t>
      </w:r>
      <w:r>
        <w:lastRenderedPageBreak/>
        <w:t>i manjak prihoda od nefinancijske imovine u iznosu 1.329,93 EUR. Temeljem navedenog postoji odstupanje u odnosu na PR-RAS kako slijedi: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756B79">
        <w:trPr>
          <w:trHeight w:val="878"/>
        </w:trPr>
        <w:tc>
          <w:tcPr>
            <w:tcW w:w="1000" w:type="pct"/>
            <w:vAlign w:val="center"/>
          </w:tcPr>
          <w:p w:rsidR="00756B79" w:rsidRDefault="00DE5255">
            <w:r>
              <w:t>Konto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Pozicije na dan 31.12</w:t>
            </w:r>
            <w:r>
              <w:t>.2025.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Podaci iz PR-RAS-a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Korekcija rezultata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Podaci za bilancu na 31.12.2025</w:t>
            </w:r>
          </w:p>
        </w:tc>
      </w:tr>
      <w:tr w:rsidR="00756B79">
        <w:trPr>
          <w:trHeight w:val="542"/>
        </w:trPr>
        <w:tc>
          <w:tcPr>
            <w:tcW w:w="1000" w:type="pct"/>
            <w:vAlign w:val="center"/>
          </w:tcPr>
          <w:p w:rsidR="00756B79" w:rsidRDefault="00DE5255">
            <w:r>
              <w:t>92211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Višak prihoda poslovanja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8.928,20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-8.928,20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0,00</w:t>
            </w:r>
          </w:p>
        </w:tc>
      </w:tr>
      <w:tr w:rsidR="00756B79">
        <w:trPr>
          <w:trHeight w:val="542"/>
        </w:trPr>
        <w:tc>
          <w:tcPr>
            <w:tcW w:w="1000" w:type="pct"/>
            <w:vAlign w:val="center"/>
          </w:tcPr>
          <w:p w:rsidR="00756B79" w:rsidRDefault="00DE5255">
            <w:r>
              <w:t>92221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Manjak prihoda poslovanja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-4.346,81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-1.835,79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-6.182,60</w:t>
            </w:r>
          </w:p>
        </w:tc>
      </w:tr>
      <w:tr w:rsidR="00756B79">
        <w:trPr>
          <w:trHeight w:val="542"/>
        </w:trPr>
        <w:tc>
          <w:tcPr>
            <w:tcW w:w="1000" w:type="pct"/>
            <w:vAlign w:val="center"/>
          </w:tcPr>
          <w:p w:rsidR="00756B79" w:rsidRDefault="00DE5255">
            <w:r>
              <w:t>92222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Manjak prihoda od nefin.im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-12.093,92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-10.763,99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-1.329,93</w:t>
            </w:r>
          </w:p>
        </w:tc>
      </w:tr>
      <w:tr w:rsidR="00756B79">
        <w:trPr>
          <w:trHeight w:val="542"/>
        </w:trPr>
        <w:tc>
          <w:tcPr>
            <w:tcW w:w="1000" w:type="pct"/>
            <w:vAlign w:val="center"/>
          </w:tcPr>
          <w:p w:rsidR="00756B79" w:rsidRDefault="00DE5255">
            <w:r>
              <w:t>922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Višak/manjak prihoda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-7512,53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0,00</w:t>
            </w:r>
          </w:p>
        </w:tc>
        <w:tc>
          <w:tcPr>
            <w:tcW w:w="1000" w:type="pct"/>
            <w:vAlign w:val="center"/>
          </w:tcPr>
          <w:p w:rsidR="00756B79" w:rsidRDefault="00DE5255">
            <w:r>
              <w:t>-7.512,53</w:t>
            </w:r>
          </w:p>
        </w:tc>
      </w:tr>
    </w:tbl>
    <w:p w:rsidR="00756B79" w:rsidRDefault="00DE5255">
      <w:r>
        <w:t> </w:t>
      </w:r>
      <w:r>
        <w:br/>
        <w:t> </w:t>
      </w:r>
      <w:r>
        <w:br/>
        <w:t> </w:t>
      </w:r>
    </w:p>
    <w:p w:rsidR="00756B79" w:rsidRDefault="00DE525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528.307,37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631.868,60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U izvještaju je na šifri 082 - službe kulture iskazan iznos ukupnih rashoda 631.868,60 EUR.</w:t>
      </w:r>
    </w:p>
    <w:p w:rsidR="00756B79" w:rsidRDefault="00756B79"/>
    <w:p w:rsidR="00756B79" w:rsidRDefault="00DE525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44.088,49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U stavci promjene u vrijednosti imovine je prikazano smanjenje vrijednosti nefinancijske imovine u iznosu 44.088,49 EUR za iznos provedenog ispravka vrijednosti dugotrajne imovine.</w:t>
      </w:r>
    </w:p>
    <w:p w:rsidR="00756B79" w:rsidRDefault="00756B79"/>
    <w:p w:rsidR="00756B79" w:rsidRDefault="00DE5255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756B79" w:rsidRDefault="00DE525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56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6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756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6B79" w:rsidRDefault="00DE52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56B79" w:rsidRDefault="00756B79">
      <w:pPr>
        <w:spacing w:after="0"/>
      </w:pPr>
    </w:p>
    <w:p w:rsidR="00756B79" w:rsidRDefault="00DE5255">
      <w:r>
        <w:t>Stanje obveza na početku razdoblja iznose 38.177,90 EUR, a na kraju izvještajnog razdoblja 43.741,92 EUR</w:t>
      </w:r>
    </w:p>
    <w:p w:rsidR="00756B79" w:rsidRDefault="00DE5255">
      <w:r>
        <w:t>Na kraju izvještajnog razdoblja obveze su u statusu nedospjelih obveza.</w:t>
      </w:r>
    </w:p>
    <w:p w:rsidR="00756B79" w:rsidRDefault="00756B79"/>
    <w:p w:rsidR="00792BA8" w:rsidRDefault="00792BA8"/>
    <w:p w:rsidR="00792BA8" w:rsidRDefault="00792BA8" w:rsidP="00792BA8">
      <w:r w:rsidRPr="000F2F8C">
        <w:t>Voditeljica računovodstva:</w:t>
      </w:r>
      <w:r w:rsidRPr="000F2F8C"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0F2F8C">
        <w:t>Ravnateljica:</w:t>
      </w:r>
    </w:p>
    <w:p w:rsidR="00792BA8" w:rsidRDefault="00792BA8" w:rsidP="00792BA8"/>
    <w:p w:rsidR="00792BA8" w:rsidRPr="000F2F8C" w:rsidRDefault="00792BA8" w:rsidP="00792BA8"/>
    <w:p w:rsidR="00792BA8" w:rsidRPr="000F2F8C" w:rsidRDefault="00792BA8" w:rsidP="00792BA8">
      <w:r w:rsidRPr="000F2F8C">
        <w:t>Jadranka Matasić Kolak</w:t>
      </w:r>
      <w:r w:rsidRPr="000F2F8C"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0F2F8C">
        <w:t>Nina Sivec</w:t>
      </w:r>
    </w:p>
    <w:p w:rsidR="00792BA8" w:rsidRDefault="00792BA8"/>
    <w:sectPr w:rsidR="00792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B79"/>
    <w:rsid w:val="00427FE7"/>
    <w:rsid w:val="00756B79"/>
    <w:rsid w:val="00792BA8"/>
    <w:rsid w:val="00D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5658"/>
  <w15:docId w15:val="{39E5E5B3-60E1-4040-B9BA-F6A95F5A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Jadranka Matasić</cp:lastModifiedBy>
  <cp:revision>3</cp:revision>
  <cp:lastPrinted>2026-01-28T13:01:00Z</cp:lastPrinted>
  <dcterms:created xsi:type="dcterms:W3CDTF">2026-01-28T12:45:00Z</dcterms:created>
  <dcterms:modified xsi:type="dcterms:W3CDTF">2026-01-29T10:43:00Z</dcterms:modified>
</cp:coreProperties>
</file>