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D005EA" w14:textId="269B0954" w:rsidR="003C39BD" w:rsidRPr="00AF7EE2" w:rsidRDefault="003C39BD" w:rsidP="003C39BD">
      <w:pPr>
        <w:contextualSpacing/>
        <w:rPr>
          <w:rFonts w:ascii="Times New Roman" w:hAnsi="Times New Roman" w:cs="Times New Roman"/>
          <w:bCs/>
          <w:sz w:val="24"/>
          <w:szCs w:val="24"/>
        </w:rPr>
      </w:pPr>
      <w:r w:rsidRPr="00AF7EE2">
        <w:rPr>
          <w:rFonts w:ascii="Times New Roman" w:hAnsi="Times New Roman" w:cs="Times New Roman"/>
          <w:bCs/>
          <w:sz w:val="24"/>
          <w:szCs w:val="24"/>
        </w:rPr>
        <w:t>TIFLOLOŠKI MUZEJ</w:t>
      </w:r>
    </w:p>
    <w:p w14:paraId="7DA5D2B5" w14:textId="013D48C7" w:rsidR="003C39BD" w:rsidRPr="00AF7EE2" w:rsidRDefault="003C39BD" w:rsidP="003C39BD">
      <w:pPr>
        <w:contextualSpacing/>
        <w:rPr>
          <w:rFonts w:ascii="Times New Roman" w:hAnsi="Times New Roman" w:cs="Times New Roman"/>
          <w:bCs/>
          <w:sz w:val="24"/>
          <w:szCs w:val="24"/>
        </w:rPr>
      </w:pPr>
      <w:r w:rsidRPr="00AF7EE2">
        <w:rPr>
          <w:rFonts w:ascii="Times New Roman" w:hAnsi="Times New Roman" w:cs="Times New Roman"/>
          <w:bCs/>
          <w:sz w:val="24"/>
          <w:szCs w:val="24"/>
        </w:rPr>
        <w:t>Augusta Šeone 34</w:t>
      </w:r>
    </w:p>
    <w:p w14:paraId="271D9A84" w14:textId="62CAA736" w:rsidR="003C39BD" w:rsidRPr="00AF7EE2" w:rsidRDefault="003C39BD" w:rsidP="003C39BD">
      <w:pPr>
        <w:contextualSpacing/>
        <w:rPr>
          <w:rFonts w:ascii="Times New Roman" w:hAnsi="Times New Roman" w:cs="Times New Roman"/>
          <w:bCs/>
          <w:sz w:val="24"/>
          <w:szCs w:val="24"/>
        </w:rPr>
      </w:pPr>
      <w:r w:rsidRPr="00AF7EE2">
        <w:rPr>
          <w:rFonts w:ascii="Times New Roman" w:hAnsi="Times New Roman" w:cs="Times New Roman"/>
          <w:bCs/>
          <w:sz w:val="24"/>
          <w:szCs w:val="24"/>
        </w:rPr>
        <w:t>10000 Zagreb</w:t>
      </w:r>
    </w:p>
    <w:p w14:paraId="7BA94D14" w14:textId="7E1B9F89" w:rsidR="00BA020E" w:rsidRDefault="00BA020E" w:rsidP="003C39BD">
      <w:pPr>
        <w:contextualSpacing/>
        <w:rPr>
          <w:rFonts w:ascii="Times New Roman" w:hAnsi="Times New Roman" w:cs="Times New Roman"/>
          <w:bCs/>
          <w:sz w:val="24"/>
          <w:szCs w:val="24"/>
        </w:rPr>
      </w:pPr>
      <w:r>
        <w:rPr>
          <w:rFonts w:ascii="Times New Roman" w:hAnsi="Times New Roman" w:cs="Times New Roman"/>
          <w:bCs/>
          <w:sz w:val="24"/>
          <w:szCs w:val="24"/>
        </w:rPr>
        <w:t>Kla</w:t>
      </w:r>
      <w:r w:rsidR="004B20C2">
        <w:rPr>
          <w:rFonts w:ascii="Times New Roman" w:hAnsi="Times New Roman" w:cs="Times New Roman"/>
          <w:bCs/>
          <w:sz w:val="24"/>
          <w:szCs w:val="24"/>
        </w:rPr>
        <w:t>s.oznaka: 007-02/26-01/1</w:t>
      </w:r>
    </w:p>
    <w:p w14:paraId="57EDEC95" w14:textId="720D99C9" w:rsidR="00BA020E" w:rsidRDefault="00BA020E" w:rsidP="003C39BD">
      <w:pPr>
        <w:contextualSpacing/>
        <w:rPr>
          <w:rFonts w:ascii="Times New Roman" w:hAnsi="Times New Roman" w:cs="Times New Roman"/>
          <w:bCs/>
          <w:sz w:val="24"/>
          <w:szCs w:val="24"/>
        </w:rPr>
      </w:pPr>
      <w:r>
        <w:rPr>
          <w:rFonts w:ascii="Times New Roman" w:hAnsi="Times New Roman" w:cs="Times New Roman"/>
          <w:bCs/>
          <w:sz w:val="24"/>
          <w:szCs w:val="24"/>
        </w:rPr>
        <w:t>U</w:t>
      </w:r>
      <w:r w:rsidR="004B20C2">
        <w:rPr>
          <w:rFonts w:ascii="Times New Roman" w:hAnsi="Times New Roman" w:cs="Times New Roman"/>
          <w:bCs/>
          <w:sz w:val="24"/>
          <w:szCs w:val="24"/>
        </w:rPr>
        <w:t>ružbeni broj: 251-843-01/1-</w:t>
      </w:r>
      <w:bookmarkStart w:id="0" w:name="_GoBack"/>
      <w:bookmarkEnd w:id="0"/>
      <w:r w:rsidR="004B20C2">
        <w:rPr>
          <w:rFonts w:ascii="Times New Roman" w:hAnsi="Times New Roman" w:cs="Times New Roman"/>
          <w:bCs/>
          <w:sz w:val="24"/>
          <w:szCs w:val="24"/>
        </w:rPr>
        <w:t>26-4</w:t>
      </w:r>
    </w:p>
    <w:p w14:paraId="137DB64F" w14:textId="49207956" w:rsidR="003C39BD" w:rsidRPr="00AF7EE2" w:rsidRDefault="003C39BD" w:rsidP="003C39BD">
      <w:pPr>
        <w:contextualSpacing/>
        <w:rPr>
          <w:rFonts w:ascii="Times New Roman" w:hAnsi="Times New Roman" w:cs="Times New Roman"/>
          <w:bCs/>
          <w:sz w:val="24"/>
          <w:szCs w:val="24"/>
        </w:rPr>
      </w:pPr>
      <w:r w:rsidRPr="00AF7EE2">
        <w:rPr>
          <w:rFonts w:ascii="Times New Roman" w:hAnsi="Times New Roman" w:cs="Times New Roman"/>
          <w:bCs/>
          <w:sz w:val="24"/>
          <w:szCs w:val="24"/>
        </w:rPr>
        <w:tab/>
      </w:r>
      <w:r w:rsidRPr="00AF7EE2">
        <w:rPr>
          <w:rFonts w:ascii="Times New Roman" w:hAnsi="Times New Roman" w:cs="Times New Roman"/>
          <w:bCs/>
          <w:sz w:val="24"/>
          <w:szCs w:val="24"/>
        </w:rPr>
        <w:tab/>
      </w:r>
      <w:r w:rsidRPr="00AF7EE2">
        <w:rPr>
          <w:rFonts w:ascii="Times New Roman" w:hAnsi="Times New Roman" w:cs="Times New Roman"/>
          <w:bCs/>
          <w:sz w:val="24"/>
          <w:szCs w:val="24"/>
        </w:rPr>
        <w:tab/>
      </w:r>
      <w:r w:rsidRPr="00AF7EE2">
        <w:rPr>
          <w:rFonts w:ascii="Times New Roman" w:hAnsi="Times New Roman" w:cs="Times New Roman"/>
          <w:bCs/>
          <w:sz w:val="24"/>
          <w:szCs w:val="24"/>
        </w:rPr>
        <w:tab/>
      </w:r>
      <w:r w:rsidRPr="00AF7EE2">
        <w:rPr>
          <w:rFonts w:ascii="Times New Roman" w:hAnsi="Times New Roman" w:cs="Times New Roman"/>
          <w:bCs/>
          <w:sz w:val="24"/>
          <w:szCs w:val="24"/>
        </w:rPr>
        <w:tab/>
      </w:r>
    </w:p>
    <w:p w14:paraId="33D7334E" w14:textId="7B4452FC" w:rsidR="0069705C" w:rsidRPr="00AF7EE2" w:rsidRDefault="0069705C" w:rsidP="0069705C">
      <w:pPr>
        <w:jc w:val="center"/>
        <w:rPr>
          <w:rFonts w:ascii="Times New Roman" w:hAnsi="Times New Roman" w:cs="Times New Roman"/>
          <w:b/>
          <w:bCs/>
          <w:sz w:val="24"/>
          <w:szCs w:val="24"/>
        </w:rPr>
      </w:pPr>
      <w:r w:rsidRPr="00AF7EE2">
        <w:rPr>
          <w:rFonts w:ascii="Times New Roman" w:hAnsi="Times New Roman" w:cs="Times New Roman"/>
          <w:b/>
          <w:bCs/>
          <w:sz w:val="24"/>
          <w:szCs w:val="24"/>
        </w:rPr>
        <w:t>OBRAZLOŽENJE GODIŠNJEG IZVJEŠTAJA O IZVRŠENJU FINANCIJSKOG PLANA ZA 202</w:t>
      </w:r>
      <w:r w:rsidR="00D816A5" w:rsidRPr="00AF7EE2">
        <w:rPr>
          <w:rFonts w:ascii="Times New Roman" w:hAnsi="Times New Roman" w:cs="Times New Roman"/>
          <w:b/>
          <w:bCs/>
          <w:sz w:val="24"/>
          <w:szCs w:val="24"/>
        </w:rPr>
        <w:t>5</w:t>
      </w:r>
      <w:r w:rsidRPr="00AF7EE2">
        <w:rPr>
          <w:rFonts w:ascii="Times New Roman" w:hAnsi="Times New Roman" w:cs="Times New Roman"/>
          <w:b/>
          <w:bCs/>
          <w:sz w:val="24"/>
          <w:szCs w:val="24"/>
        </w:rPr>
        <w:t>. GODINU</w:t>
      </w:r>
    </w:p>
    <w:p w14:paraId="4871D556" w14:textId="77777777" w:rsidR="0069705C" w:rsidRPr="00AF7EE2" w:rsidRDefault="0069705C">
      <w:pPr>
        <w:contextualSpacing/>
        <w:rPr>
          <w:sz w:val="24"/>
          <w:szCs w:val="24"/>
        </w:rPr>
      </w:pPr>
    </w:p>
    <w:p w14:paraId="2E09AF78" w14:textId="7E49C846" w:rsidR="0069705C" w:rsidRPr="00AF7EE2" w:rsidRDefault="0069705C" w:rsidP="0069705C">
      <w:pPr>
        <w:contextualSpacing/>
        <w:rPr>
          <w:sz w:val="24"/>
          <w:szCs w:val="24"/>
        </w:rPr>
      </w:pPr>
      <w:r w:rsidRPr="00AF7EE2">
        <w:rPr>
          <w:sz w:val="24"/>
          <w:szCs w:val="24"/>
        </w:rPr>
        <w:t xml:space="preserve">Obveza izrade </w:t>
      </w:r>
      <w:r w:rsidR="00BA020E">
        <w:rPr>
          <w:sz w:val="24"/>
          <w:szCs w:val="24"/>
        </w:rPr>
        <w:t>g</w:t>
      </w:r>
      <w:r w:rsidRPr="00AF7EE2">
        <w:rPr>
          <w:sz w:val="24"/>
          <w:szCs w:val="24"/>
        </w:rPr>
        <w:t>odišnjeg izvještaja o izvršenju financijskog plana utvrđena je Zakonom o proračunu.</w:t>
      </w:r>
    </w:p>
    <w:p w14:paraId="449D60A4" w14:textId="77777777" w:rsidR="0069705C" w:rsidRPr="00AF7EE2" w:rsidRDefault="0069705C" w:rsidP="0069705C">
      <w:pPr>
        <w:contextualSpacing/>
        <w:rPr>
          <w:sz w:val="24"/>
          <w:szCs w:val="24"/>
        </w:rPr>
      </w:pPr>
      <w:r w:rsidRPr="00AF7EE2">
        <w:rPr>
          <w:sz w:val="24"/>
          <w:szCs w:val="24"/>
        </w:rPr>
        <w:t>Osnovna svrha navedenog izvještaja je dati informacije o:</w:t>
      </w:r>
    </w:p>
    <w:p w14:paraId="64914972" w14:textId="322D45CD" w:rsidR="0069705C" w:rsidRPr="00AF7EE2" w:rsidRDefault="0069705C" w:rsidP="0069705C">
      <w:pPr>
        <w:pStyle w:val="ListParagraph"/>
        <w:numPr>
          <w:ilvl w:val="0"/>
          <w:numId w:val="2"/>
        </w:numPr>
        <w:rPr>
          <w:sz w:val="24"/>
          <w:szCs w:val="24"/>
        </w:rPr>
      </w:pPr>
      <w:r w:rsidRPr="00AF7EE2">
        <w:rPr>
          <w:sz w:val="24"/>
          <w:szCs w:val="24"/>
        </w:rPr>
        <w:t>planiranim i ostvarenim prihodima i rashodima, primicima i izdacima tijekom</w:t>
      </w:r>
    </w:p>
    <w:p w14:paraId="34BB7A66" w14:textId="77777777" w:rsidR="0069705C" w:rsidRPr="00AF7EE2" w:rsidRDefault="0069705C" w:rsidP="0069705C">
      <w:pPr>
        <w:pStyle w:val="ListParagraph"/>
        <w:rPr>
          <w:sz w:val="24"/>
          <w:szCs w:val="24"/>
        </w:rPr>
      </w:pPr>
      <w:r w:rsidRPr="00AF7EE2">
        <w:rPr>
          <w:sz w:val="24"/>
          <w:szCs w:val="24"/>
        </w:rPr>
        <w:t>izvještajnog razdoblja iskazanim prema proračunskim klasifikacijama,</w:t>
      </w:r>
    </w:p>
    <w:p w14:paraId="175368AF" w14:textId="1CFBDE64" w:rsidR="0069705C" w:rsidRPr="00AF7EE2" w:rsidRDefault="0069705C" w:rsidP="0069705C">
      <w:pPr>
        <w:pStyle w:val="ListParagraph"/>
        <w:numPr>
          <w:ilvl w:val="0"/>
          <w:numId w:val="2"/>
        </w:numPr>
        <w:rPr>
          <w:sz w:val="24"/>
          <w:szCs w:val="24"/>
        </w:rPr>
      </w:pPr>
      <w:r w:rsidRPr="00AF7EE2">
        <w:rPr>
          <w:sz w:val="24"/>
          <w:szCs w:val="24"/>
        </w:rPr>
        <w:t>ostvarenju postavljenih planova i</w:t>
      </w:r>
    </w:p>
    <w:p w14:paraId="75E3BBF1" w14:textId="4B03F07D" w:rsidR="0069705C" w:rsidRPr="00AF7EE2" w:rsidRDefault="0069705C" w:rsidP="0069705C">
      <w:pPr>
        <w:pStyle w:val="ListParagraph"/>
        <w:numPr>
          <w:ilvl w:val="0"/>
          <w:numId w:val="2"/>
        </w:numPr>
        <w:rPr>
          <w:sz w:val="24"/>
          <w:szCs w:val="24"/>
        </w:rPr>
      </w:pPr>
      <w:r w:rsidRPr="00AF7EE2">
        <w:rPr>
          <w:sz w:val="24"/>
          <w:szCs w:val="24"/>
        </w:rPr>
        <w:t>uspješnosti ispunjenja postavljenih ciljeva.</w:t>
      </w:r>
    </w:p>
    <w:p w14:paraId="2951E16E" w14:textId="77777777" w:rsidR="00FC3550" w:rsidRPr="00AF7EE2" w:rsidRDefault="00FC3550" w:rsidP="00FC3550">
      <w:pPr>
        <w:rPr>
          <w:sz w:val="24"/>
          <w:szCs w:val="24"/>
        </w:rPr>
      </w:pPr>
      <w:r w:rsidRPr="00AF7EE2">
        <w:rPr>
          <w:sz w:val="24"/>
          <w:szCs w:val="24"/>
        </w:rPr>
        <w:t>S obzirom da je Tiflološki muzej korisnik državnog proračuna, izvještaj je napravljen po novčanom načelu.</w:t>
      </w:r>
    </w:p>
    <w:p w14:paraId="3CADF97F" w14:textId="183DC45C" w:rsidR="0069705C" w:rsidRPr="00AF7EE2" w:rsidRDefault="0069705C" w:rsidP="0069705C">
      <w:pPr>
        <w:contextualSpacing/>
        <w:rPr>
          <w:sz w:val="24"/>
          <w:szCs w:val="24"/>
        </w:rPr>
      </w:pPr>
      <w:r w:rsidRPr="00AF7EE2">
        <w:rPr>
          <w:sz w:val="24"/>
          <w:szCs w:val="24"/>
        </w:rPr>
        <w:t xml:space="preserve">Sadržaj </w:t>
      </w:r>
      <w:r w:rsidR="00D816A5" w:rsidRPr="00AF7EE2">
        <w:rPr>
          <w:sz w:val="24"/>
          <w:szCs w:val="24"/>
        </w:rPr>
        <w:t>g</w:t>
      </w:r>
      <w:r w:rsidRPr="00AF7EE2">
        <w:rPr>
          <w:sz w:val="24"/>
          <w:szCs w:val="24"/>
        </w:rPr>
        <w:t>odišnjeg izvještaja o izvršenju financijskog plana čine:</w:t>
      </w:r>
    </w:p>
    <w:p w14:paraId="79495B2B" w14:textId="3186F8EB" w:rsidR="0069705C" w:rsidRPr="00AF7EE2" w:rsidRDefault="0069705C" w:rsidP="00570CA3">
      <w:pPr>
        <w:pStyle w:val="ListParagraph"/>
        <w:numPr>
          <w:ilvl w:val="0"/>
          <w:numId w:val="9"/>
        </w:numPr>
        <w:rPr>
          <w:b/>
          <w:sz w:val="24"/>
          <w:szCs w:val="24"/>
        </w:rPr>
      </w:pPr>
      <w:r w:rsidRPr="00AF7EE2">
        <w:rPr>
          <w:b/>
          <w:sz w:val="24"/>
          <w:szCs w:val="24"/>
        </w:rPr>
        <w:t>Opći dio:</w:t>
      </w:r>
    </w:p>
    <w:p w14:paraId="0E3B7F41" w14:textId="67ECB252" w:rsidR="0069705C" w:rsidRPr="00AF7EE2" w:rsidRDefault="0069705C" w:rsidP="0069705C">
      <w:pPr>
        <w:pStyle w:val="ListParagraph"/>
        <w:numPr>
          <w:ilvl w:val="0"/>
          <w:numId w:val="4"/>
        </w:numPr>
        <w:rPr>
          <w:sz w:val="24"/>
          <w:szCs w:val="24"/>
        </w:rPr>
      </w:pPr>
      <w:r w:rsidRPr="00AF7EE2">
        <w:rPr>
          <w:sz w:val="24"/>
          <w:szCs w:val="24"/>
        </w:rPr>
        <w:t>Sažetak Računa prihoda i rashoda i Računa financiranja,</w:t>
      </w:r>
    </w:p>
    <w:p w14:paraId="1B8D9331" w14:textId="5D997A75" w:rsidR="0069705C" w:rsidRPr="00AF7EE2" w:rsidRDefault="0069705C" w:rsidP="0069705C">
      <w:pPr>
        <w:pStyle w:val="ListParagraph"/>
        <w:numPr>
          <w:ilvl w:val="0"/>
          <w:numId w:val="4"/>
        </w:numPr>
        <w:rPr>
          <w:sz w:val="24"/>
          <w:szCs w:val="24"/>
        </w:rPr>
      </w:pPr>
      <w:r w:rsidRPr="00AF7EE2">
        <w:rPr>
          <w:sz w:val="24"/>
          <w:szCs w:val="24"/>
        </w:rPr>
        <w:t>Račun prihoda i rashoda, u kojem su prihodi i rashodi iskazani po ekonomskoj</w:t>
      </w:r>
    </w:p>
    <w:p w14:paraId="21548995" w14:textId="77777777" w:rsidR="0069705C" w:rsidRPr="00AF7EE2" w:rsidRDefault="0069705C" w:rsidP="0069705C">
      <w:pPr>
        <w:pStyle w:val="ListParagraph"/>
        <w:rPr>
          <w:sz w:val="24"/>
          <w:szCs w:val="24"/>
        </w:rPr>
      </w:pPr>
      <w:r w:rsidRPr="00AF7EE2">
        <w:rPr>
          <w:sz w:val="24"/>
          <w:szCs w:val="24"/>
        </w:rPr>
        <w:t>klasifikaciji i izvorima financiranja, a rashodi i po funkcijskoj klasifikaciji,</w:t>
      </w:r>
    </w:p>
    <w:p w14:paraId="432ED73F" w14:textId="49FE95A1" w:rsidR="0069705C" w:rsidRPr="00AF7EE2" w:rsidRDefault="0069705C" w:rsidP="0069705C">
      <w:pPr>
        <w:pStyle w:val="ListParagraph"/>
        <w:numPr>
          <w:ilvl w:val="0"/>
          <w:numId w:val="4"/>
        </w:numPr>
        <w:rPr>
          <w:sz w:val="24"/>
          <w:szCs w:val="24"/>
        </w:rPr>
      </w:pPr>
      <w:r w:rsidRPr="00AF7EE2">
        <w:rPr>
          <w:sz w:val="24"/>
          <w:szCs w:val="24"/>
        </w:rPr>
        <w:t>Račun financiranja, u kojem su primici i izdaci iskazani po ekonomskoj</w:t>
      </w:r>
    </w:p>
    <w:p w14:paraId="7704559D" w14:textId="77777777" w:rsidR="0069705C" w:rsidRPr="00AF7EE2" w:rsidRDefault="0069705C" w:rsidP="0069705C">
      <w:pPr>
        <w:pStyle w:val="ListParagraph"/>
        <w:rPr>
          <w:sz w:val="24"/>
          <w:szCs w:val="24"/>
        </w:rPr>
      </w:pPr>
      <w:r w:rsidRPr="00AF7EE2">
        <w:rPr>
          <w:sz w:val="24"/>
          <w:szCs w:val="24"/>
        </w:rPr>
        <w:t>klasifikaciji i izvorima financiranja,</w:t>
      </w:r>
    </w:p>
    <w:p w14:paraId="7205CF7E" w14:textId="025A618D" w:rsidR="0069705C" w:rsidRPr="00AF7EE2" w:rsidRDefault="0069705C" w:rsidP="0069705C">
      <w:pPr>
        <w:pStyle w:val="ListParagraph"/>
        <w:numPr>
          <w:ilvl w:val="0"/>
          <w:numId w:val="4"/>
        </w:numPr>
        <w:rPr>
          <w:sz w:val="24"/>
          <w:szCs w:val="24"/>
        </w:rPr>
      </w:pPr>
      <w:r w:rsidRPr="00AF7EE2">
        <w:rPr>
          <w:sz w:val="24"/>
          <w:szCs w:val="24"/>
        </w:rPr>
        <w:t xml:space="preserve">Opći dio </w:t>
      </w:r>
      <w:r w:rsidR="00FC3550" w:rsidRPr="00AF7EE2">
        <w:rPr>
          <w:sz w:val="24"/>
          <w:szCs w:val="24"/>
        </w:rPr>
        <w:t xml:space="preserve">za korisnike državnog proračuna </w:t>
      </w:r>
      <w:r w:rsidRPr="00AF7EE2">
        <w:rPr>
          <w:sz w:val="24"/>
          <w:szCs w:val="24"/>
        </w:rPr>
        <w:t>sadržav</w:t>
      </w:r>
      <w:r w:rsidR="00FC3550" w:rsidRPr="00AF7EE2">
        <w:rPr>
          <w:sz w:val="24"/>
          <w:szCs w:val="24"/>
        </w:rPr>
        <w:t>a prijenos sredstava iz prethodne godine i odnos sredstava u slijedeću godinu</w:t>
      </w:r>
      <w:r w:rsidRPr="00AF7EE2">
        <w:rPr>
          <w:sz w:val="24"/>
          <w:szCs w:val="24"/>
        </w:rPr>
        <w:t>,</w:t>
      </w:r>
    </w:p>
    <w:p w14:paraId="63F60C95" w14:textId="57116D2F" w:rsidR="0069705C" w:rsidRPr="00AF7EE2" w:rsidRDefault="0069705C" w:rsidP="0069705C">
      <w:pPr>
        <w:pStyle w:val="ListParagraph"/>
        <w:numPr>
          <w:ilvl w:val="0"/>
          <w:numId w:val="2"/>
        </w:numPr>
        <w:rPr>
          <w:b/>
          <w:sz w:val="24"/>
          <w:szCs w:val="24"/>
        </w:rPr>
      </w:pPr>
      <w:r w:rsidRPr="00AF7EE2">
        <w:rPr>
          <w:b/>
          <w:sz w:val="24"/>
          <w:szCs w:val="24"/>
        </w:rPr>
        <w:t>Posebni dio:</w:t>
      </w:r>
    </w:p>
    <w:p w14:paraId="714D9B0D" w14:textId="7116ABF6" w:rsidR="0069705C" w:rsidRPr="00AF7EE2" w:rsidRDefault="0069705C" w:rsidP="0069705C">
      <w:pPr>
        <w:pStyle w:val="ListParagraph"/>
        <w:numPr>
          <w:ilvl w:val="0"/>
          <w:numId w:val="6"/>
        </w:numPr>
        <w:rPr>
          <w:sz w:val="24"/>
          <w:szCs w:val="24"/>
        </w:rPr>
      </w:pPr>
      <w:r w:rsidRPr="00AF7EE2">
        <w:rPr>
          <w:sz w:val="24"/>
          <w:szCs w:val="24"/>
        </w:rPr>
        <w:t>izvršenje rashoda i izdataka iskazanih po izvorima financiranja i ekonomskoj</w:t>
      </w:r>
    </w:p>
    <w:p w14:paraId="49422347" w14:textId="77777777" w:rsidR="0069705C" w:rsidRPr="00AF7EE2" w:rsidRDefault="0069705C" w:rsidP="0069705C">
      <w:pPr>
        <w:pStyle w:val="ListParagraph"/>
        <w:rPr>
          <w:sz w:val="24"/>
          <w:szCs w:val="24"/>
        </w:rPr>
      </w:pPr>
      <w:r w:rsidRPr="00AF7EE2">
        <w:rPr>
          <w:sz w:val="24"/>
          <w:szCs w:val="24"/>
        </w:rPr>
        <w:t>klasifikaciji, raspoređenih u programe koji se sastoje od aktivnosti i projekata,</w:t>
      </w:r>
    </w:p>
    <w:p w14:paraId="095047D1" w14:textId="51322868" w:rsidR="0069705C" w:rsidRPr="00AF7EE2" w:rsidRDefault="0069705C" w:rsidP="0069705C">
      <w:pPr>
        <w:pStyle w:val="ListParagraph"/>
        <w:numPr>
          <w:ilvl w:val="0"/>
          <w:numId w:val="2"/>
        </w:numPr>
        <w:rPr>
          <w:b/>
          <w:sz w:val="24"/>
          <w:szCs w:val="24"/>
        </w:rPr>
      </w:pPr>
      <w:r w:rsidRPr="00AF7EE2">
        <w:rPr>
          <w:b/>
          <w:sz w:val="24"/>
          <w:szCs w:val="24"/>
        </w:rPr>
        <w:t>Obrazloženje:</w:t>
      </w:r>
    </w:p>
    <w:p w14:paraId="67DFDB6A" w14:textId="296C92E9" w:rsidR="0069705C" w:rsidRPr="00AF7EE2" w:rsidRDefault="0069705C" w:rsidP="0069705C">
      <w:pPr>
        <w:pStyle w:val="ListParagraph"/>
        <w:numPr>
          <w:ilvl w:val="0"/>
          <w:numId w:val="7"/>
        </w:numPr>
        <w:rPr>
          <w:sz w:val="24"/>
          <w:szCs w:val="24"/>
        </w:rPr>
      </w:pPr>
      <w:r w:rsidRPr="00AF7EE2">
        <w:rPr>
          <w:sz w:val="24"/>
          <w:szCs w:val="24"/>
        </w:rPr>
        <w:t>Općeg dijela, odnosno ostvarenja prihoda i primitaka, rashoda i izdataka te</w:t>
      </w:r>
    </w:p>
    <w:p w14:paraId="11F15E15" w14:textId="77777777" w:rsidR="0069705C" w:rsidRPr="00AF7EE2" w:rsidRDefault="0069705C" w:rsidP="0069705C">
      <w:pPr>
        <w:pStyle w:val="ListParagraph"/>
        <w:rPr>
          <w:sz w:val="24"/>
          <w:szCs w:val="24"/>
        </w:rPr>
      </w:pPr>
      <w:r w:rsidRPr="00AF7EE2">
        <w:rPr>
          <w:sz w:val="24"/>
          <w:szCs w:val="24"/>
        </w:rPr>
        <w:t>prenesenog manjka odnosno viška financijskog plana,</w:t>
      </w:r>
    </w:p>
    <w:p w14:paraId="73B306AB" w14:textId="5E85BE7E" w:rsidR="0069705C" w:rsidRPr="00AF7EE2" w:rsidRDefault="0069705C" w:rsidP="0069705C">
      <w:pPr>
        <w:pStyle w:val="ListParagraph"/>
        <w:numPr>
          <w:ilvl w:val="0"/>
          <w:numId w:val="7"/>
        </w:numPr>
        <w:rPr>
          <w:sz w:val="24"/>
          <w:szCs w:val="24"/>
        </w:rPr>
      </w:pPr>
      <w:r w:rsidRPr="00AF7EE2">
        <w:rPr>
          <w:sz w:val="24"/>
          <w:szCs w:val="24"/>
        </w:rPr>
        <w:t>Posebnog dijela, odnosno izvršenja aktivnosti i projekata iz posebnog dijela</w:t>
      </w:r>
    </w:p>
    <w:p w14:paraId="3613D36B" w14:textId="77777777" w:rsidR="0069705C" w:rsidRPr="00AF7EE2" w:rsidRDefault="0069705C" w:rsidP="0069705C">
      <w:pPr>
        <w:pStyle w:val="ListParagraph"/>
        <w:rPr>
          <w:sz w:val="24"/>
          <w:szCs w:val="24"/>
        </w:rPr>
      </w:pPr>
      <w:r w:rsidRPr="00AF7EE2">
        <w:rPr>
          <w:sz w:val="24"/>
          <w:szCs w:val="24"/>
        </w:rPr>
        <w:t>financijskog plana s ciljevima koji su ostvareni provedbom programa i</w:t>
      </w:r>
    </w:p>
    <w:p w14:paraId="45972064" w14:textId="1C8EE618" w:rsidR="0069705C" w:rsidRPr="00AF7EE2" w:rsidRDefault="0069705C" w:rsidP="0069705C">
      <w:pPr>
        <w:pStyle w:val="ListParagraph"/>
        <w:rPr>
          <w:sz w:val="24"/>
          <w:szCs w:val="24"/>
        </w:rPr>
      </w:pPr>
      <w:r w:rsidRPr="00AF7EE2">
        <w:rPr>
          <w:sz w:val="24"/>
          <w:szCs w:val="24"/>
        </w:rPr>
        <w:t>pokazateljima uspješnosti realizacije tih ciljeva,</w:t>
      </w:r>
    </w:p>
    <w:p w14:paraId="54DD12DD" w14:textId="77777777" w:rsidR="00BC0E70" w:rsidRPr="00AF7EE2" w:rsidRDefault="00BC0E70" w:rsidP="00BC0E70">
      <w:pPr>
        <w:pStyle w:val="ListParagraph"/>
        <w:numPr>
          <w:ilvl w:val="0"/>
          <w:numId w:val="2"/>
        </w:numPr>
        <w:rPr>
          <w:b/>
          <w:sz w:val="24"/>
          <w:szCs w:val="24"/>
        </w:rPr>
      </w:pPr>
      <w:r w:rsidRPr="00AF7EE2">
        <w:rPr>
          <w:b/>
          <w:sz w:val="24"/>
          <w:szCs w:val="24"/>
        </w:rPr>
        <w:t>Posebni izvještaji:</w:t>
      </w:r>
    </w:p>
    <w:p w14:paraId="40299529" w14:textId="5744EB3C" w:rsidR="00BC0E70" w:rsidRPr="00AF7EE2" w:rsidRDefault="00BC0E70" w:rsidP="00BC0E70">
      <w:pPr>
        <w:pStyle w:val="ListParagraph"/>
        <w:rPr>
          <w:sz w:val="24"/>
          <w:szCs w:val="24"/>
        </w:rPr>
      </w:pPr>
      <w:r w:rsidRPr="00AF7EE2">
        <w:rPr>
          <w:sz w:val="24"/>
          <w:szCs w:val="24"/>
        </w:rPr>
        <w:t>a.     Izvještaj o korištenju sredstava fondova Europske unije,</w:t>
      </w:r>
    </w:p>
    <w:p w14:paraId="164C0D74" w14:textId="6AF32463" w:rsidR="00BC0E70" w:rsidRPr="00AF7EE2" w:rsidRDefault="00BC0E70" w:rsidP="00BC0E70">
      <w:pPr>
        <w:pStyle w:val="ListParagraph"/>
        <w:rPr>
          <w:sz w:val="24"/>
          <w:szCs w:val="24"/>
        </w:rPr>
      </w:pPr>
      <w:r w:rsidRPr="00AF7EE2">
        <w:rPr>
          <w:sz w:val="24"/>
          <w:szCs w:val="24"/>
        </w:rPr>
        <w:t>b.     Izvještaj o zaduživanju na domaćem i stranom tržištu novca i kapitala,</w:t>
      </w:r>
    </w:p>
    <w:p w14:paraId="7EACE085" w14:textId="099D9569" w:rsidR="00BC0E70" w:rsidRPr="00AF7EE2" w:rsidRDefault="00BC0E70" w:rsidP="00BC0E70">
      <w:pPr>
        <w:pStyle w:val="ListParagraph"/>
        <w:rPr>
          <w:sz w:val="24"/>
          <w:szCs w:val="24"/>
        </w:rPr>
      </w:pPr>
      <w:r w:rsidRPr="00AF7EE2">
        <w:rPr>
          <w:sz w:val="24"/>
          <w:szCs w:val="24"/>
        </w:rPr>
        <w:t>c.     Izvještaj o danim zajmovima i potraživanjima po danim zajmovima,</w:t>
      </w:r>
    </w:p>
    <w:p w14:paraId="492E5629" w14:textId="11807F3A" w:rsidR="00BC0E70" w:rsidRPr="00AF7EE2" w:rsidRDefault="00BC0E70" w:rsidP="00BC0E70">
      <w:pPr>
        <w:pStyle w:val="ListParagraph"/>
        <w:rPr>
          <w:sz w:val="24"/>
          <w:szCs w:val="24"/>
        </w:rPr>
      </w:pPr>
      <w:r w:rsidRPr="00AF7EE2">
        <w:rPr>
          <w:sz w:val="24"/>
          <w:szCs w:val="24"/>
        </w:rPr>
        <w:t>d.     Izvještaj o stanju potraživanja i dospjelih obveza te o stanju potencijalnih obveza</w:t>
      </w:r>
    </w:p>
    <w:p w14:paraId="311DE3F0" w14:textId="11AC48E0" w:rsidR="00BC0E70" w:rsidRPr="00AF7EE2" w:rsidRDefault="00BC0E70" w:rsidP="00BC0E70">
      <w:pPr>
        <w:pStyle w:val="ListParagraph"/>
        <w:rPr>
          <w:sz w:val="24"/>
          <w:szCs w:val="24"/>
        </w:rPr>
      </w:pPr>
      <w:r w:rsidRPr="00AF7EE2">
        <w:rPr>
          <w:sz w:val="24"/>
          <w:szCs w:val="24"/>
        </w:rPr>
        <w:t>po osnovi sudskih sporova.</w:t>
      </w:r>
    </w:p>
    <w:p w14:paraId="6181885A" w14:textId="77777777" w:rsidR="003C39BD" w:rsidRPr="00AF7EE2" w:rsidRDefault="00570CA3" w:rsidP="00570CA3">
      <w:pPr>
        <w:pStyle w:val="ListParagraph"/>
        <w:numPr>
          <w:ilvl w:val="0"/>
          <w:numId w:val="12"/>
        </w:numPr>
        <w:rPr>
          <w:b/>
          <w:sz w:val="24"/>
          <w:szCs w:val="24"/>
        </w:rPr>
      </w:pPr>
      <w:r w:rsidRPr="00AF7EE2">
        <w:rPr>
          <w:b/>
          <w:sz w:val="24"/>
          <w:szCs w:val="24"/>
        </w:rPr>
        <w:lastRenderedPageBreak/>
        <w:t>OBRAZLOŽENJE OPĆEG DIJELA</w:t>
      </w:r>
    </w:p>
    <w:p w14:paraId="36E06ED2" w14:textId="77777777" w:rsidR="00354D5A" w:rsidRPr="00AF7EE2" w:rsidRDefault="00354D5A" w:rsidP="00010D0A">
      <w:pPr>
        <w:contextualSpacing/>
        <w:rPr>
          <w:sz w:val="24"/>
          <w:szCs w:val="24"/>
        </w:rPr>
      </w:pPr>
    </w:p>
    <w:p w14:paraId="3DFA6619" w14:textId="2929DCE6" w:rsidR="006171A7" w:rsidRPr="00AF7EE2" w:rsidRDefault="006171A7" w:rsidP="00010D0A">
      <w:pPr>
        <w:contextualSpacing/>
        <w:rPr>
          <w:sz w:val="24"/>
          <w:szCs w:val="24"/>
        </w:rPr>
      </w:pPr>
      <w:r w:rsidRPr="00AF7EE2">
        <w:rPr>
          <w:sz w:val="24"/>
          <w:szCs w:val="24"/>
        </w:rPr>
        <w:t xml:space="preserve">U </w:t>
      </w:r>
      <w:r w:rsidR="00010D0A" w:rsidRPr="00AF7EE2">
        <w:rPr>
          <w:sz w:val="24"/>
          <w:szCs w:val="24"/>
        </w:rPr>
        <w:t>općem dijelu su prikazani planirani i izvršeni prihodi i rashodi po ekonomskoj i funkcijskoj klasifik</w:t>
      </w:r>
      <w:r w:rsidR="00181684">
        <w:rPr>
          <w:sz w:val="24"/>
          <w:szCs w:val="24"/>
        </w:rPr>
        <w:t>a</w:t>
      </w:r>
      <w:r w:rsidR="00010D0A" w:rsidRPr="00AF7EE2">
        <w:rPr>
          <w:sz w:val="24"/>
          <w:szCs w:val="24"/>
        </w:rPr>
        <w:t xml:space="preserve">ciji </w:t>
      </w:r>
      <w:r w:rsidR="00BC0E70" w:rsidRPr="00AF7EE2">
        <w:rPr>
          <w:sz w:val="24"/>
          <w:szCs w:val="24"/>
        </w:rPr>
        <w:t>te</w:t>
      </w:r>
      <w:r w:rsidR="00010D0A" w:rsidRPr="00AF7EE2">
        <w:rPr>
          <w:sz w:val="24"/>
          <w:szCs w:val="24"/>
        </w:rPr>
        <w:t xml:space="preserve"> prema izvorima financiranja.</w:t>
      </w:r>
    </w:p>
    <w:p w14:paraId="00F1C8ED" w14:textId="77777777" w:rsidR="003C4A89" w:rsidRPr="00AF7EE2" w:rsidRDefault="003C4A89" w:rsidP="00010D0A">
      <w:pPr>
        <w:contextualSpacing/>
        <w:rPr>
          <w:sz w:val="24"/>
          <w:szCs w:val="24"/>
        </w:rPr>
      </w:pPr>
    </w:p>
    <w:p w14:paraId="495DE190" w14:textId="2D785F57" w:rsidR="00FC3550" w:rsidRPr="00AF7EE2" w:rsidRDefault="00FC3550" w:rsidP="00010D0A">
      <w:pPr>
        <w:contextualSpacing/>
        <w:rPr>
          <w:sz w:val="24"/>
          <w:szCs w:val="24"/>
        </w:rPr>
      </w:pPr>
      <w:r w:rsidRPr="00AF7EE2">
        <w:rPr>
          <w:sz w:val="24"/>
          <w:szCs w:val="24"/>
        </w:rPr>
        <w:t xml:space="preserve">Ukupni prihodi za </w:t>
      </w:r>
      <w:r w:rsidR="00D816A5" w:rsidRPr="00AF7EE2">
        <w:rPr>
          <w:sz w:val="24"/>
          <w:szCs w:val="24"/>
        </w:rPr>
        <w:t>202</w:t>
      </w:r>
      <w:r w:rsidR="00711893">
        <w:rPr>
          <w:sz w:val="24"/>
          <w:szCs w:val="24"/>
        </w:rPr>
        <w:t>5</w:t>
      </w:r>
      <w:r w:rsidR="00D816A5" w:rsidRPr="00AF7EE2">
        <w:rPr>
          <w:sz w:val="24"/>
          <w:szCs w:val="24"/>
        </w:rPr>
        <w:t>.</w:t>
      </w:r>
      <w:r w:rsidRPr="00AF7EE2">
        <w:rPr>
          <w:sz w:val="24"/>
          <w:szCs w:val="24"/>
        </w:rPr>
        <w:t xml:space="preserve"> godinu planirani su u iznosu od </w:t>
      </w:r>
      <w:r w:rsidR="00711893">
        <w:rPr>
          <w:sz w:val="24"/>
          <w:szCs w:val="24"/>
        </w:rPr>
        <w:t>631</w:t>
      </w:r>
      <w:r w:rsidRPr="00AF7EE2">
        <w:rPr>
          <w:sz w:val="24"/>
          <w:szCs w:val="24"/>
        </w:rPr>
        <w:t>.</w:t>
      </w:r>
      <w:r w:rsidR="00711893">
        <w:rPr>
          <w:sz w:val="24"/>
          <w:szCs w:val="24"/>
        </w:rPr>
        <w:t>912,70</w:t>
      </w:r>
      <w:r w:rsidRPr="00AF7EE2">
        <w:rPr>
          <w:sz w:val="24"/>
          <w:szCs w:val="24"/>
        </w:rPr>
        <w:t xml:space="preserve"> EUR</w:t>
      </w:r>
      <w:r w:rsidR="001D2615" w:rsidRPr="00AF7EE2">
        <w:rPr>
          <w:sz w:val="24"/>
          <w:szCs w:val="24"/>
        </w:rPr>
        <w:t>,</w:t>
      </w:r>
      <w:r w:rsidRPr="00AF7EE2">
        <w:rPr>
          <w:sz w:val="24"/>
          <w:szCs w:val="24"/>
        </w:rPr>
        <w:t xml:space="preserve"> a</w:t>
      </w:r>
      <w:r w:rsidR="007D2EE6" w:rsidRPr="00AF7EE2">
        <w:rPr>
          <w:sz w:val="24"/>
          <w:szCs w:val="24"/>
        </w:rPr>
        <w:t xml:space="preserve"> u razdoblju od 1. siječnja do 3</w:t>
      </w:r>
      <w:r w:rsidR="00711893">
        <w:rPr>
          <w:sz w:val="24"/>
          <w:szCs w:val="24"/>
        </w:rPr>
        <w:t>1</w:t>
      </w:r>
      <w:r w:rsidR="007D2EE6" w:rsidRPr="00AF7EE2">
        <w:rPr>
          <w:sz w:val="24"/>
          <w:szCs w:val="24"/>
        </w:rPr>
        <w:t xml:space="preserve">. </w:t>
      </w:r>
      <w:r w:rsidR="00711893">
        <w:rPr>
          <w:sz w:val="24"/>
          <w:szCs w:val="24"/>
        </w:rPr>
        <w:t>prosinca</w:t>
      </w:r>
      <w:r w:rsidR="007D2EE6" w:rsidRPr="00AF7EE2">
        <w:rPr>
          <w:sz w:val="24"/>
          <w:szCs w:val="24"/>
        </w:rPr>
        <w:t xml:space="preserve"> 2025. godine su</w:t>
      </w:r>
      <w:r w:rsidRPr="00AF7EE2">
        <w:rPr>
          <w:sz w:val="24"/>
          <w:szCs w:val="24"/>
        </w:rPr>
        <w:t xml:space="preserve"> </w:t>
      </w:r>
      <w:r w:rsidR="007D2EE6" w:rsidRPr="00AF7EE2">
        <w:rPr>
          <w:sz w:val="24"/>
          <w:szCs w:val="24"/>
        </w:rPr>
        <w:t>izvršeni</w:t>
      </w:r>
      <w:r w:rsidRPr="00AF7EE2">
        <w:rPr>
          <w:sz w:val="24"/>
          <w:szCs w:val="24"/>
        </w:rPr>
        <w:t xml:space="preserve"> u iznosu od </w:t>
      </w:r>
      <w:r w:rsidR="00711893">
        <w:rPr>
          <w:sz w:val="24"/>
          <w:szCs w:val="24"/>
        </w:rPr>
        <w:t>628.702,88</w:t>
      </w:r>
      <w:r w:rsidRPr="00AF7EE2">
        <w:rPr>
          <w:sz w:val="24"/>
          <w:szCs w:val="24"/>
        </w:rPr>
        <w:t xml:space="preserve"> EUR ili </w:t>
      </w:r>
      <w:r w:rsidR="00711893">
        <w:rPr>
          <w:sz w:val="24"/>
          <w:szCs w:val="24"/>
        </w:rPr>
        <w:t>99,49</w:t>
      </w:r>
      <w:r w:rsidRPr="00AF7EE2">
        <w:rPr>
          <w:sz w:val="24"/>
          <w:szCs w:val="24"/>
        </w:rPr>
        <w:t xml:space="preserve">% </w:t>
      </w:r>
      <w:r w:rsidR="003C4A89" w:rsidRPr="00AF7EE2">
        <w:rPr>
          <w:sz w:val="24"/>
          <w:szCs w:val="24"/>
        </w:rPr>
        <w:t xml:space="preserve">godišnjeg </w:t>
      </w:r>
      <w:r w:rsidRPr="00AF7EE2">
        <w:rPr>
          <w:sz w:val="24"/>
          <w:szCs w:val="24"/>
        </w:rPr>
        <w:t xml:space="preserve">plana. </w:t>
      </w:r>
    </w:p>
    <w:p w14:paraId="51C68E82" w14:textId="13982F37" w:rsidR="003432C8" w:rsidRPr="00AF7EE2" w:rsidRDefault="001D2615" w:rsidP="00010D0A">
      <w:pPr>
        <w:contextualSpacing/>
        <w:rPr>
          <w:sz w:val="24"/>
          <w:szCs w:val="24"/>
        </w:rPr>
      </w:pPr>
      <w:r w:rsidRPr="00AF7EE2">
        <w:rPr>
          <w:sz w:val="24"/>
          <w:szCs w:val="24"/>
        </w:rPr>
        <w:t xml:space="preserve">Ukupni rashodi za </w:t>
      </w:r>
      <w:r w:rsidR="00D816A5" w:rsidRPr="00AF7EE2">
        <w:rPr>
          <w:sz w:val="24"/>
          <w:szCs w:val="24"/>
        </w:rPr>
        <w:t>2025.</w:t>
      </w:r>
      <w:r w:rsidRPr="00AF7EE2">
        <w:rPr>
          <w:sz w:val="24"/>
          <w:szCs w:val="24"/>
        </w:rPr>
        <w:t xml:space="preserve"> godinu su planirani u iznosu </w:t>
      </w:r>
      <w:r w:rsidR="00711893">
        <w:rPr>
          <w:sz w:val="24"/>
          <w:szCs w:val="24"/>
        </w:rPr>
        <w:t>633</w:t>
      </w:r>
      <w:r w:rsidRPr="00AF7EE2">
        <w:rPr>
          <w:sz w:val="24"/>
          <w:szCs w:val="24"/>
        </w:rPr>
        <w:t>.</w:t>
      </w:r>
      <w:r w:rsidR="00711893">
        <w:rPr>
          <w:sz w:val="24"/>
          <w:szCs w:val="24"/>
        </w:rPr>
        <w:t>976,07</w:t>
      </w:r>
      <w:r w:rsidRPr="00AF7EE2">
        <w:rPr>
          <w:sz w:val="24"/>
          <w:szCs w:val="24"/>
        </w:rPr>
        <w:t xml:space="preserve"> EUR,</w:t>
      </w:r>
      <w:r w:rsidR="007D2EE6" w:rsidRPr="00AF7EE2">
        <w:rPr>
          <w:sz w:val="24"/>
          <w:szCs w:val="24"/>
        </w:rPr>
        <w:t xml:space="preserve"> a u razdoblju od 1. siječnja do 3</w:t>
      </w:r>
      <w:r w:rsidR="00711893">
        <w:rPr>
          <w:sz w:val="24"/>
          <w:szCs w:val="24"/>
        </w:rPr>
        <w:t>1</w:t>
      </w:r>
      <w:r w:rsidR="007D2EE6" w:rsidRPr="00AF7EE2">
        <w:rPr>
          <w:sz w:val="24"/>
          <w:szCs w:val="24"/>
        </w:rPr>
        <w:t xml:space="preserve">. </w:t>
      </w:r>
      <w:r w:rsidR="00711893">
        <w:rPr>
          <w:sz w:val="24"/>
          <w:szCs w:val="24"/>
        </w:rPr>
        <w:t>prosinca</w:t>
      </w:r>
      <w:r w:rsidR="007D2EE6" w:rsidRPr="00AF7EE2">
        <w:rPr>
          <w:sz w:val="24"/>
          <w:szCs w:val="24"/>
        </w:rPr>
        <w:t xml:space="preserve"> 2025. godine su</w:t>
      </w:r>
      <w:r w:rsidRPr="00AF7EE2">
        <w:rPr>
          <w:sz w:val="24"/>
          <w:szCs w:val="24"/>
        </w:rPr>
        <w:t xml:space="preserve"> izvršeni u iznosu </w:t>
      </w:r>
      <w:r w:rsidR="00711893">
        <w:rPr>
          <w:sz w:val="24"/>
          <w:szCs w:val="24"/>
        </w:rPr>
        <w:t>627</w:t>
      </w:r>
      <w:r w:rsidRPr="00AF7EE2">
        <w:rPr>
          <w:sz w:val="24"/>
          <w:szCs w:val="24"/>
        </w:rPr>
        <w:t>.</w:t>
      </w:r>
      <w:r w:rsidR="00711893">
        <w:rPr>
          <w:sz w:val="24"/>
          <w:szCs w:val="24"/>
        </w:rPr>
        <w:t>103</w:t>
      </w:r>
      <w:r w:rsidR="00D816A5" w:rsidRPr="00AF7EE2">
        <w:rPr>
          <w:sz w:val="24"/>
          <w:szCs w:val="24"/>
        </w:rPr>
        <w:t>,</w:t>
      </w:r>
      <w:r w:rsidR="00711893">
        <w:rPr>
          <w:sz w:val="24"/>
          <w:szCs w:val="24"/>
        </w:rPr>
        <w:t>51</w:t>
      </w:r>
      <w:r w:rsidRPr="00AF7EE2">
        <w:rPr>
          <w:sz w:val="24"/>
          <w:szCs w:val="24"/>
        </w:rPr>
        <w:t xml:space="preserve"> EUR ili </w:t>
      </w:r>
      <w:r w:rsidR="00711893">
        <w:rPr>
          <w:sz w:val="24"/>
          <w:szCs w:val="24"/>
        </w:rPr>
        <w:t>98,92</w:t>
      </w:r>
      <w:r w:rsidRPr="00AF7EE2">
        <w:rPr>
          <w:sz w:val="24"/>
          <w:szCs w:val="24"/>
        </w:rPr>
        <w:t>% godišnjeg plana.</w:t>
      </w:r>
    </w:p>
    <w:p w14:paraId="325E0E37" w14:textId="77777777" w:rsidR="00E8129E" w:rsidRPr="00AF7EE2" w:rsidRDefault="00E8129E" w:rsidP="00010D0A">
      <w:pPr>
        <w:contextualSpacing/>
        <w:rPr>
          <w:sz w:val="24"/>
          <w:szCs w:val="24"/>
        </w:rPr>
      </w:pPr>
    </w:p>
    <w:p w14:paraId="0AAB5CE2" w14:textId="420318E3" w:rsidR="00E8129E" w:rsidRPr="00AF7EE2" w:rsidRDefault="003432C8" w:rsidP="00010D0A">
      <w:pPr>
        <w:contextualSpacing/>
        <w:rPr>
          <w:sz w:val="24"/>
          <w:szCs w:val="24"/>
        </w:rPr>
      </w:pPr>
      <w:r w:rsidRPr="00AF7EE2">
        <w:rPr>
          <w:sz w:val="24"/>
          <w:szCs w:val="24"/>
        </w:rPr>
        <w:t>U izvještaju o prihodima i rashodima prema ekonomskoj klasifikac</w:t>
      </w:r>
      <w:r w:rsidR="00354D5A" w:rsidRPr="00AF7EE2">
        <w:rPr>
          <w:sz w:val="24"/>
          <w:szCs w:val="24"/>
        </w:rPr>
        <w:t>i</w:t>
      </w:r>
      <w:r w:rsidRPr="00AF7EE2">
        <w:rPr>
          <w:sz w:val="24"/>
          <w:szCs w:val="24"/>
        </w:rPr>
        <w:t>ji izvršenje ukupnih prihoda se u cijelosti odnosi na prihode poslovanja.</w:t>
      </w:r>
      <w:r w:rsidR="001D2615" w:rsidRPr="00AF7EE2">
        <w:rPr>
          <w:sz w:val="24"/>
          <w:szCs w:val="24"/>
        </w:rPr>
        <w:t xml:space="preserve"> </w:t>
      </w:r>
    </w:p>
    <w:p w14:paraId="092C3B15" w14:textId="7C62F560" w:rsidR="007D2EE6" w:rsidRPr="00AF7EE2" w:rsidRDefault="007D2EE6" w:rsidP="00010D0A">
      <w:pPr>
        <w:contextualSpacing/>
        <w:rPr>
          <w:sz w:val="24"/>
          <w:szCs w:val="24"/>
        </w:rPr>
      </w:pPr>
      <w:r w:rsidRPr="00AF7EE2">
        <w:rPr>
          <w:sz w:val="24"/>
          <w:szCs w:val="24"/>
        </w:rPr>
        <w:t xml:space="preserve">Rashodi poslovanja su izvršeni u iznosu </w:t>
      </w:r>
      <w:r w:rsidR="00711893">
        <w:rPr>
          <w:sz w:val="24"/>
          <w:szCs w:val="24"/>
        </w:rPr>
        <w:t>615</w:t>
      </w:r>
      <w:r w:rsidRPr="00AF7EE2">
        <w:rPr>
          <w:sz w:val="24"/>
          <w:szCs w:val="24"/>
        </w:rPr>
        <w:t>.</w:t>
      </w:r>
      <w:r w:rsidR="00711893">
        <w:rPr>
          <w:sz w:val="24"/>
          <w:szCs w:val="24"/>
        </w:rPr>
        <w:t>009</w:t>
      </w:r>
      <w:r w:rsidRPr="00AF7EE2">
        <w:rPr>
          <w:sz w:val="24"/>
          <w:szCs w:val="24"/>
        </w:rPr>
        <w:t>,</w:t>
      </w:r>
      <w:r w:rsidR="00711893">
        <w:rPr>
          <w:sz w:val="24"/>
          <w:szCs w:val="24"/>
        </w:rPr>
        <w:t>5</w:t>
      </w:r>
      <w:r w:rsidRPr="00AF7EE2">
        <w:rPr>
          <w:sz w:val="24"/>
          <w:szCs w:val="24"/>
        </w:rPr>
        <w:t xml:space="preserve">9 EUR ili </w:t>
      </w:r>
      <w:r w:rsidR="00487044">
        <w:rPr>
          <w:sz w:val="24"/>
          <w:szCs w:val="24"/>
        </w:rPr>
        <w:t>98</w:t>
      </w:r>
      <w:r w:rsidRPr="00AF7EE2">
        <w:rPr>
          <w:sz w:val="24"/>
          <w:szCs w:val="24"/>
        </w:rPr>
        <w:t>,</w:t>
      </w:r>
      <w:r w:rsidR="00487044">
        <w:rPr>
          <w:sz w:val="24"/>
          <w:szCs w:val="24"/>
        </w:rPr>
        <w:t>76</w:t>
      </w:r>
      <w:r w:rsidRPr="00AF7EE2">
        <w:rPr>
          <w:sz w:val="24"/>
          <w:szCs w:val="24"/>
        </w:rPr>
        <w:t>%</w:t>
      </w:r>
      <w:r w:rsidR="00354D5A" w:rsidRPr="00AF7EE2">
        <w:rPr>
          <w:sz w:val="24"/>
          <w:szCs w:val="24"/>
        </w:rPr>
        <w:t xml:space="preserve"> godišnjeg plana</w:t>
      </w:r>
      <w:r w:rsidRPr="00AF7EE2">
        <w:rPr>
          <w:sz w:val="24"/>
          <w:szCs w:val="24"/>
        </w:rPr>
        <w:t xml:space="preserve">, a rashodi za nabavu nefinancijske imovine su izvršeni u iznosu </w:t>
      </w:r>
      <w:r w:rsidR="00487044">
        <w:rPr>
          <w:sz w:val="24"/>
          <w:szCs w:val="24"/>
        </w:rPr>
        <w:t>19</w:t>
      </w:r>
      <w:r w:rsidRPr="00AF7EE2">
        <w:rPr>
          <w:sz w:val="24"/>
          <w:szCs w:val="24"/>
        </w:rPr>
        <w:t>.</w:t>
      </w:r>
      <w:r w:rsidR="00487044">
        <w:rPr>
          <w:sz w:val="24"/>
          <w:szCs w:val="24"/>
        </w:rPr>
        <w:t>093</w:t>
      </w:r>
      <w:r w:rsidRPr="00AF7EE2">
        <w:rPr>
          <w:sz w:val="24"/>
          <w:szCs w:val="24"/>
        </w:rPr>
        <w:t>,</w:t>
      </w:r>
      <w:r w:rsidR="00487044">
        <w:rPr>
          <w:sz w:val="24"/>
          <w:szCs w:val="24"/>
        </w:rPr>
        <w:t>92</w:t>
      </w:r>
      <w:r w:rsidRPr="00AF7EE2">
        <w:rPr>
          <w:sz w:val="24"/>
          <w:szCs w:val="24"/>
        </w:rPr>
        <w:t xml:space="preserve"> EUR ili </w:t>
      </w:r>
      <w:r w:rsidR="00487044">
        <w:rPr>
          <w:sz w:val="24"/>
          <w:szCs w:val="24"/>
        </w:rPr>
        <w:t>107</w:t>
      </w:r>
      <w:r w:rsidRPr="00AF7EE2">
        <w:rPr>
          <w:sz w:val="24"/>
          <w:szCs w:val="24"/>
        </w:rPr>
        <w:t>,</w:t>
      </w:r>
      <w:r w:rsidR="00487044">
        <w:rPr>
          <w:sz w:val="24"/>
          <w:szCs w:val="24"/>
        </w:rPr>
        <w:t>53</w:t>
      </w:r>
      <w:r w:rsidRPr="00AF7EE2">
        <w:rPr>
          <w:sz w:val="24"/>
          <w:szCs w:val="24"/>
        </w:rPr>
        <w:t>%</w:t>
      </w:r>
      <w:r w:rsidR="003C4A89" w:rsidRPr="00AF7EE2">
        <w:rPr>
          <w:sz w:val="24"/>
          <w:szCs w:val="24"/>
        </w:rPr>
        <w:t xml:space="preserve"> godišnjeg plana</w:t>
      </w:r>
      <w:r w:rsidR="003432C8" w:rsidRPr="00AF7EE2">
        <w:rPr>
          <w:sz w:val="24"/>
          <w:szCs w:val="24"/>
        </w:rPr>
        <w:t>.</w:t>
      </w:r>
    </w:p>
    <w:p w14:paraId="7EBCC1FF" w14:textId="77777777" w:rsidR="00E8129E" w:rsidRPr="00AF7EE2" w:rsidRDefault="00E8129E" w:rsidP="00010D0A">
      <w:pPr>
        <w:contextualSpacing/>
        <w:rPr>
          <w:sz w:val="24"/>
          <w:szCs w:val="24"/>
        </w:rPr>
      </w:pPr>
    </w:p>
    <w:p w14:paraId="1678020B" w14:textId="1288F9B7" w:rsidR="003432C8" w:rsidRPr="00AF7EE2" w:rsidRDefault="003432C8" w:rsidP="00010D0A">
      <w:pPr>
        <w:contextualSpacing/>
        <w:rPr>
          <w:sz w:val="24"/>
          <w:szCs w:val="24"/>
        </w:rPr>
      </w:pPr>
      <w:r w:rsidRPr="00AF7EE2">
        <w:rPr>
          <w:sz w:val="24"/>
          <w:szCs w:val="24"/>
        </w:rPr>
        <w:t xml:space="preserve">U izvještaju o prihodima i rashodima prema izvorima financiranja </w:t>
      </w:r>
      <w:r w:rsidR="00E8129E" w:rsidRPr="00AF7EE2">
        <w:rPr>
          <w:sz w:val="24"/>
          <w:szCs w:val="24"/>
        </w:rPr>
        <w:t>muzej je u odnosu na tekući plan izvršio prihode prema slijedećim izvorima:</w:t>
      </w:r>
    </w:p>
    <w:p w14:paraId="098C2F2B" w14:textId="0F605504" w:rsidR="00E8129E" w:rsidRPr="00AF7EE2" w:rsidRDefault="00E8129E" w:rsidP="00E8129E">
      <w:pPr>
        <w:pStyle w:val="ListParagraph"/>
        <w:numPr>
          <w:ilvl w:val="0"/>
          <w:numId w:val="20"/>
        </w:numPr>
        <w:rPr>
          <w:sz w:val="24"/>
          <w:szCs w:val="24"/>
        </w:rPr>
      </w:pPr>
      <w:r w:rsidRPr="00AF7EE2">
        <w:rPr>
          <w:sz w:val="24"/>
          <w:szCs w:val="24"/>
        </w:rPr>
        <w:t xml:space="preserve">Izvor 11 (iz proračuna) </w:t>
      </w:r>
      <w:r w:rsidR="00487044">
        <w:rPr>
          <w:sz w:val="24"/>
          <w:szCs w:val="24"/>
        </w:rPr>
        <w:t>617.436,83</w:t>
      </w:r>
      <w:r w:rsidRPr="00AF7EE2">
        <w:rPr>
          <w:sz w:val="24"/>
          <w:szCs w:val="24"/>
        </w:rPr>
        <w:t xml:space="preserve"> EUR ili </w:t>
      </w:r>
      <w:r w:rsidR="00487044">
        <w:rPr>
          <w:sz w:val="24"/>
          <w:szCs w:val="24"/>
        </w:rPr>
        <w:t>98</w:t>
      </w:r>
      <w:r w:rsidRPr="00AF7EE2">
        <w:rPr>
          <w:sz w:val="24"/>
          <w:szCs w:val="24"/>
        </w:rPr>
        <w:t>,</w:t>
      </w:r>
      <w:r w:rsidR="00487044">
        <w:rPr>
          <w:sz w:val="24"/>
          <w:szCs w:val="24"/>
        </w:rPr>
        <w:t>96</w:t>
      </w:r>
      <w:r w:rsidRPr="00AF7EE2">
        <w:rPr>
          <w:sz w:val="24"/>
          <w:szCs w:val="24"/>
        </w:rPr>
        <w:t xml:space="preserve">% izvršeno u odnosu na </w:t>
      </w:r>
      <w:r w:rsidR="003C4A89" w:rsidRPr="00AF7EE2">
        <w:rPr>
          <w:sz w:val="24"/>
          <w:szCs w:val="24"/>
        </w:rPr>
        <w:t>godišnji</w:t>
      </w:r>
      <w:r w:rsidRPr="00AF7EE2">
        <w:rPr>
          <w:sz w:val="24"/>
          <w:szCs w:val="24"/>
        </w:rPr>
        <w:t xml:space="preserve"> plan</w:t>
      </w:r>
    </w:p>
    <w:p w14:paraId="318B49CF" w14:textId="552AC504" w:rsidR="00E8129E" w:rsidRPr="00AF7EE2" w:rsidRDefault="00E8129E" w:rsidP="00E8129E">
      <w:pPr>
        <w:pStyle w:val="ListParagraph"/>
        <w:numPr>
          <w:ilvl w:val="0"/>
          <w:numId w:val="20"/>
        </w:numPr>
        <w:rPr>
          <w:sz w:val="24"/>
          <w:szCs w:val="24"/>
        </w:rPr>
      </w:pPr>
      <w:r w:rsidRPr="00AF7EE2">
        <w:rPr>
          <w:sz w:val="24"/>
          <w:szCs w:val="24"/>
        </w:rPr>
        <w:t xml:space="preserve">Izvor 31 (vlastiti prihodi) </w:t>
      </w:r>
      <w:r w:rsidR="00487044">
        <w:rPr>
          <w:sz w:val="24"/>
          <w:szCs w:val="24"/>
        </w:rPr>
        <w:t>4</w:t>
      </w:r>
      <w:r w:rsidRPr="00AF7EE2">
        <w:rPr>
          <w:sz w:val="24"/>
          <w:szCs w:val="24"/>
        </w:rPr>
        <w:t>.</w:t>
      </w:r>
      <w:r w:rsidR="00487044">
        <w:rPr>
          <w:sz w:val="24"/>
          <w:szCs w:val="24"/>
        </w:rPr>
        <w:t>845</w:t>
      </w:r>
      <w:r w:rsidRPr="00AF7EE2">
        <w:rPr>
          <w:sz w:val="24"/>
          <w:szCs w:val="24"/>
        </w:rPr>
        <w:t>,</w:t>
      </w:r>
      <w:r w:rsidR="00487044">
        <w:rPr>
          <w:sz w:val="24"/>
          <w:szCs w:val="24"/>
        </w:rPr>
        <w:t>05</w:t>
      </w:r>
      <w:r w:rsidRPr="00AF7EE2">
        <w:rPr>
          <w:sz w:val="24"/>
          <w:szCs w:val="24"/>
        </w:rPr>
        <w:t xml:space="preserve"> EUR ili </w:t>
      </w:r>
      <w:r w:rsidR="00487044">
        <w:rPr>
          <w:sz w:val="24"/>
          <w:szCs w:val="24"/>
        </w:rPr>
        <w:t>121</w:t>
      </w:r>
      <w:r w:rsidRPr="00AF7EE2">
        <w:rPr>
          <w:sz w:val="24"/>
          <w:szCs w:val="24"/>
        </w:rPr>
        <w:t>,</w:t>
      </w:r>
      <w:r w:rsidR="00487044">
        <w:rPr>
          <w:sz w:val="24"/>
          <w:szCs w:val="24"/>
        </w:rPr>
        <w:t>13</w:t>
      </w:r>
      <w:r w:rsidRPr="00AF7EE2">
        <w:rPr>
          <w:sz w:val="24"/>
          <w:szCs w:val="24"/>
        </w:rPr>
        <w:t xml:space="preserve">% izvršeno u odnosu na </w:t>
      </w:r>
      <w:r w:rsidR="003C4A89" w:rsidRPr="00AF7EE2">
        <w:rPr>
          <w:sz w:val="24"/>
          <w:szCs w:val="24"/>
        </w:rPr>
        <w:t>godišnji</w:t>
      </w:r>
      <w:r w:rsidRPr="00AF7EE2">
        <w:rPr>
          <w:sz w:val="24"/>
          <w:szCs w:val="24"/>
        </w:rPr>
        <w:t xml:space="preserve"> plan</w:t>
      </w:r>
    </w:p>
    <w:p w14:paraId="39390DBE" w14:textId="2FB60EA6" w:rsidR="00E8129E" w:rsidRPr="00AF7EE2" w:rsidRDefault="00E8129E" w:rsidP="00E8129E">
      <w:pPr>
        <w:pStyle w:val="ListParagraph"/>
        <w:numPr>
          <w:ilvl w:val="0"/>
          <w:numId w:val="20"/>
        </w:numPr>
        <w:rPr>
          <w:sz w:val="24"/>
          <w:szCs w:val="24"/>
        </w:rPr>
      </w:pPr>
      <w:r w:rsidRPr="00AF7EE2">
        <w:rPr>
          <w:sz w:val="24"/>
          <w:szCs w:val="24"/>
        </w:rPr>
        <w:t xml:space="preserve">Izvor 43 (ostali prihodi) </w:t>
      </w:r>
      <w:r w:rsidR="00487044">
        <w:rPr>
          <w:sz w:val="24"/>
          <w:szCs w:val="24"/>
        </w:rPr>
        <w:t>6</w:t>
      </w:r>
      <w:r w:rsidRPr="00AF7EE2">
        <w:rPr>
          <w:sz w:val="24"/>
          <w:szCs w:val="24"/>
        </w:rPr>
        <w:t>.</w:t>
      </w:r>
      <w:r w:rsidR="00487044">
        <w:rPr>
          <w:sz w:val="24"/>
          <w:szCs w:val="24"/>
        </w:rPr>
        <w:t>421,00</w:t>
      </w:r>
      <w:r w:rsidRPr="00AF7EE2">
        <w:rPr>
          <w:sz w:val="24"/>
          <w:szCs w:val="24"/>
        </w:rPr>
        <w:t xml:space="preserve"> EUR ili </w:t>
      </w:r>
      <w:r w:rsidR="00487044">
        <w:rPr>
          <w:sz w:val="24"/>
          <w:szCs w:val="24"/>
        </w:rPr>
        <w:t>160</w:t>
      </w:r>
      <w:r w:rsidRPr="00AF7EE2">
        <w:rPr>
          <w:sz w:val="24"/>
          <w:szCs w:val="24"/>
        </w:rPr>
        <w:t>,</w:t>
      </w:r>
      <w:r w:rsidR="00487044">
        <w:rPr>
          <w:sz w:val="24"/>
          <w:szCs w:val="24"/>
        </w:rPr>
        <w:t>53</w:t>
      </w:r>
      <w:r w:rsidRPr="00AF7EE2">
        <w:rPr>
          <w:sz w:val="24"/>
          <w:szCs w:val="24"/>
        </w:rPr>
        <w:t xml:space="preserve">% izvršeno u odnosu na </w:t>
      </w:r>
      <w:r w:rsidR="003C4A89" w:rsidRPr="00AF7EE2">
        <w:rPr>
          <w:sz w:val="24"/>
          <w:szCs w:val="24"/>
        </w:rPr>
        <w:t>godišnji</w:t>
      </w:r>
      <w:r w:rsidRPr="00AF7EE2">
        <w:rPr>
          <w:sz w:val="24"/>
          <w:szCs w:val="24"/>
        </w:rPr>
        <w:t xml:space="preserve"> plan</w:t>
      </w:r>
    </w:p>
    <w:p w14:paraId="7129001C" w14:textId="1EB7CA87" w:rsidR="00E8129E" w:rsidRPr="00AF7EE2" w:rsidRDefault="003C4A89" w:rsidP="00010D0A">
      <w:pPr>
        <w:contextualSpacing/>
        <w:rPr>
          <w:sz w:val="24"/>
          <w:szCs w:val="24"/>
        </w:rPr>
      </w:pPr>
      <w:r w:rsidRPr="00AF7EE2">
        <w:rPr>
          <w:sz w:val="24"/>
          <w:szCs w:val="24"/>
        </w:rPr>
        <w:t>S</w:t>
      </w:r>
      <w:r w:rsidR="00E8129E" w:rsidRPr="00AF7EE2">
        <w:rPr>
          <w:sz w:val="24"/>
          <w:szCs w:val="24"/>
        </w:rPr>
        <w:t>truktura izvršenja rashoda</w:t>
      </w:r>
      <w:r w:rsidRPr="00AF7EE2">
        <w:rPr>
          <w:sz w:val="24"/>
          <w:szCs w:val="24"/>
        </w:rPr>
        <w:t xml:space="preserve"> u odnosu na tekući plan</w:t>
      </w:r>
      <w:r w:rsidR="00E8129E" w:rsidRPr="00AF7EE2">
        <w:rPr>
          <w:sz w:val="24"/>
          <w:szCs w:val="24"/>
        </w:rPr>
        <w:t xml:space="preserve"> prema izvorima je</w:t>
      </w:r>
      <w:r w:rsidRPr="00AF7EE2">
        <w:rPr>
          <w:sz w:val="24"/>
          <w:szCs w:val="24"/>
        </w:rPr>
        <w:t xml:space="preserve"> slijedeća</w:t>
      </w:r>
      <w:r w:rsidR="00E8129E" w:rsidRPr="00AF7EE2">
        <w:rPr>
          <w:sz w:val="24"/>
          <w:szCs w:val="24"/>
        </w:rPr>
        <w:t>:</w:t>
      </w:r>
    </w:p>
    <w:p w14:paraId="614D5DF5" w14:textId="7924FE4D" w:rsidR="003C4A89" w:rsidRPr="00AF7EE2" w:rsidRDefault="003C4A89" w:rsidP="003C4A89">
      <w:pPr>
        <w:pStyle w:val="ListParagraph"/>
        <w:numPr>
          <w:ilvl w:val="0"/>
          <w:numId w:val="20"/>
        </w:numPr>
        <w:rPr>
          <w:sz w:val="24"/>
          <w:szCs w:val="24"/>
        </w:rPr>
      </w:pPr>
      <w:r w:rsidRPr="00AF7EE2">
        <w:rPr>
          <w:sz w:val="24"/>
          <w:szCs w:val="24"/>
        </w:rPr>
        <w:t xml:space="preserve">Izvor 11 (iz proračuna) </w:t>
      </w:r>
      <w:r w:rsidR="00487044">
        <w:rPr>
          <w:sz w:val="24"/>
          <w:szCs w:val="24"/>
        </w:rPr>
        <w:t>617.436,83</w:t>
      </w:r>
      <w:r w:rsidR="00487044" w:rsidRPr="00AF7EE2">
        <w:rPr>
          <w:sz w:val="24"/>
          <w:szCs w:val="24"/>
        </w:rPr>
        <w:t xml:space="preserve"> </w:t>
      </w:r>
      <w:r w:rsidRPr="00AF7EE2">
        <w:rPr>
          <w:sz w:val="24"/>
          <w:szCs w:val="24"/>
        </w:rPr>
        <w:t xml:space="preserve">EUR ili </w:t>
      </w:r>
      <w:r w:rsidR="00487044">
        <w:rPr>
          <w:sz w:val="24"/>
          <w:szCs w:val="24"/>
        </w:rPr>
        <w:t>98</w:t>
      </w:r>
      <w:r w:rsidRPr="00AF7EE2">
        <w:rPr>
          <w:sz w:val="24"/>
          <w:szCs w:val="24"/>
        </w:rPr>
        <w:t>,</w:t>
      </w:r>
      <w:r w:rsidR="00487044">
        <w:rPr>
          <w:sz w:val="24"/>
          <w:szCs w:val="24"/>
        </w:rPr>
        <w:t>96</w:t>
      </w:r>
      <w:r w:rsidRPr="00AF7EE2">
        <w:rPr>
          <w:sz w:val="24"/>
          <w:szCs w:val="24"/>
        </w:rPr>
        <w:t xml:space="preserve">% izvršeno u odnosu na </w:t>
      </w:r>
      <w:r w:rsidR="00354D5A" w:rsidRPr="00AF7EE2">
        <w:rPr>
          <w:sz w:val="24"/>
          <w:szCs w:val="24"/>
        </w:rPr>
        <w:t>godišnji</w:t>
      </w:r>
      <w:r w:rsidRPr="00AF7EE2">
        <w:rPr>
          <w:sz w:val="24"/>
          <w:szCs w:val="24"/>
        </w:rPr>
        <w:t xml:space="preserve"> plan</w:t>
      </w:r>
    </w:p>
    <w:p w14:paraId="1D738B40" w14:textId="2EFA84F9" w:rsidR="003C4A89" w:rsidRPr="00AF7EE2" w:rsidRDefault="003C4A89" w:rsidP="003C4A89">
      <w:pPr>
        <w:pStyle w:val="ListParagraph"/>
        <w:numPr>
          <w:ilvl w:val="0"/>
          <w:numId w:val="20"/>
        </w:numPr>
        <w:rPr>
          <w:sz w:val="24"/>
          <w:szCs w:val="24"/>
        </w:rPr>
      </w:pPr>
      <w:r w:rsidRPr="00AF7EE2">
        <w:rPr>
          <w:sz w:val="24"/>
          <w:szCs w:val="24"/>
        </w:rPr>
        <w:t xml:space="preserve">Izvor 31 (vlastiti prihodi) </w:t>
      </w:r>
      <w:r w:rsidR="00487044">
        <w:rPr>
          <w:sz w:val="24"/>
          <w:szCs w:val="24"/>
        </w:rPr>
        <w:t>5</w:t>
      </w:r>
      <w:r w:rsidR="00487044" w:rsidRPr="00AF7EE2">
        <w:rPr>
          <w:sz w:val="24"/>
          <w:szCs w:val="24"/>
        </w:rPr>
        <w:t>.</w:t>
      </w:r>
      <w:r w:rsidR="00487044">
        <w:rPr>
          <w:sz w:val="24"/>
          <w:szCs w:val="24"/>
        </w:rPr>
        <w:t>729</w:t>
      </w:r>
      <w:r w:rsidR="00487044" w:rsidRPr="00AF7EE2">
        <w:rPr>
          <w:sz w:val="24"/>
          <w:szCs w:val="24"/>
        </w:rPr>
        <w:t>,</w:t>
      </w:r>
      <w:r w:rsidR="00487044">
        <w:rPr>
          <w:sz w:val="24"/>
          <w:szCs w:val="24"/>
        </w:rPr>
        <w:t>03</w:t>
      </w:r>
      <w:r w:rsidRPr="00AF7EE2">
        <w:rPr>
          <w:sz w:val="24"/>
          <w:szCs w:val="24"/>
        </w:rPr>
        <w:t xml:space="preserve"> EUR ili </w:t>
      </w:r>
      <w:r w:rsidR="00487044">
        <w:rPr>
          <w:sz w:val="24"/>
          <w:szCs w:val="24"/>
        </w:rPr>
        <w:t>105</w:t>
      </w:r>
      <w:r w:rsidRPr="00AF7EE2">
        <w:rPr>
          <w:sz w:val="24"/>
          <w:szCs w:val="24"/>
        </w:rPr>
        <w:t>,</w:t>
      </w:r>
      <w:r w:rsidR="00487044">
        <w:rPr>
          <w:sz w:val="24"/>
          <w:szCs w:val="24"/>
        </w:rPr>
        <w:t>60</w:t>
      </w:r>
      <w:r w:rsidRPr="00AF7EE2">
        <w:rPr>
          <w:sz w:val="24"/>
          <w:szCs w:val="24"/>
        </w:rPr>
        <w:t xml:space="preserve">% izvršeno u odnosu na </w:t>
      </w:r>
      <w:r w:rsidR="00354D5A" w:rsidRPr="00AF7EE2">
        <w:rPr>
          <w:sz w:val="24"/>
          <w:szCs w:val="24"/>
        </w:rPr>
        <w:t>godišnji</w:t>
      </w:r>
      <w:r w:rsidRPr="00AF7EE2">
        <w:rPr>
          <w:sz w:val="24"/>
          <w:szCs w:val="24"/>
        </w:rPr>
        <w:t xml:space="preserve"> plan</w:t>
      </w:r>
    </w:p>
    <w:p w14:paraId="470514DC" w14:textId="0C555AC5" w:rsidR="00E8129E" w:rsidRPr="00AF7EE2" w:rsidRDefault="003C4A89" w:rsidP="003C4A89">
      <w:pPr>
        <w:pStyle w:val="ListParagraph"/>
        <w:numPr>
          <w:ilvl w:val="0"/>
          <w:numId w:val="20"/>
        </w:numPr>
        <w:rPr>
          <w:sz w:val="24"/>
          <w:szCs w:val="24"/>
        </w:rPr>
      </w:pPr>
      <w:r w:rsidRPr="00AF7EE2">
        <w:rPr>
          <w:sz w:val="24"/>
          <w:szCs w:val="24"/>
        </w:rPr>
        <w:t xml:space="preserve">Izvor 43 (ostali prihodi) </w:t>
      </w:r>
      <w:r w:rsidR="00487044">
        <w:rPr>
          <w:sz w:val="24"/>
          <w:szCs w:val="24"/>
        </w:rPr>
        <w:t>3</w:t>
      </w:r>
      <w:r w:rsidR="00487044" w:rsidRPr="00AF7EE2">
        <w:rPr>
          <w:sz w:val="24"/>
          <w:szCs w:val="24"/>
        </w:rPr>
        <w:t>.</w:t>
      </w:r>
      <w:r w:rsidR="00487044">
        <w:rPr>
          <w:sz w:val="24"/>
          <w:szCs w:val="24"/>
        </w:rPr>
        <w:t>937,65</w:t>
      </w:r>
      <w:r w:rsidR="00487044" w:rsidRPr="00AF7EE2">
        <w:rPr>
          <w:sz w:val="24"/>
          <w:szCs w:val="24"/>
        </w:rPr>
        <w:t xml:space="preserve"> </w:t>
      </w:r>
      <w:r w:rsidRPr="00AF7EE2">
        <w:rPr>
          <w:sz w:val="24"/>
          <w:szCs w:val="24"/>
        </w:rPr>
        <w:t xml:space="preserve">EUR ili </w:t>
      </w:r>
      <w:r w:rsidR="00487044">
        <w:rPr>
          <w:sz w:val="24"/>
          <w:szCs w:val="24"/>
        </w:rPr>
        <w:t>84</w:t>
      </w:r>
      <w:r w:rsidRPr="00AF7EE2">
        <w:rPr>
          <w:sz w:val="24"/>
          <w:szCs w:val="24"/>
        </w:rPr>
        <w:t>,</w:t>
      </w:r>
      <w:r w:rsidR="00487044">
        <w:rPr>
          <w:sz w:val="24"/>
          <w:szCs w:val="24"/>
        </w:rPr>
        <w:t>89</w:t>
      </w:r>
      <w:r w:rsidRPr="00AF7EE2">
        <w:rPr>
          <w:sz w:val="24"/>
          <w:szCs w:val="24"/>
        </w:rPr>
        <w:t xml:space="preserve">% izvršeno u odnosu na </w:t>
      </w:r>
      <w:r w:rsidR="00354D5A" w:rsidRPr="00AF7EE2">
        <w:rPr>
          <w:sz w:val="24"/>
          <w:szCs w:val="24"/>
        </w:rPr>
        <w:t>godišnji</w:t>
      </w:r>
      <w:r w:rsidRPr="00AF7EE2">
        <w:rPr>
          <w:sz w:val="24"/>
          <w:szCs w:val="24"/>
        </w:rPr>
        <w:t xml:space="preserve"> plan</w:t>
      </w:r>
    </w:p>
    <w:p w14:paraId="19548B90" w14:textId="74384CE2" w:rsidR="001D2615" w:rsidRPr="00AF7EE2" w:rsidRDefault="001D2615" w:rsidP="00010D0A">
      <w:pPr>
        <w:contextualSpacing/>
        <w:rPr>
          <w:sz w:val="24"/>
          <w:szCs w:val="24"/>
        </w:rPr>
      </w:pPr>
      <w:r w:rsidRPr="00AF7EE2">
        <w:rPr>
          <w:sz w:val="24"/>
          <w:szCs w:val="24"/>
        </w:rPr>
        <w:t xml:space="preserve">U </w:t>
      </w:r>
      <w:r w:rsidR="007D2EE6" w:rsidRPr="00AF7EE2">
        <w:rPr>
          <w:sz w:val="24"/>
          <w:szCs w:val="24"/>
        </w:rPr>
        <w:t>izvještajnom razdoblju</w:t>
      </w:r>
      <w:r w:rsidRPr="00AF7EE2">
        <w:rPr>
          <w:sz w:val="24"/>
          <w:szCs w:val="24"/>
        </w:rPr>
        <w:t xml:space="preserve"> sredstva su se trošila u skladu s financijskim planom.</w:t>
      </w:r>
    </w:p>
    <w:p w14:paraId="34B76024" w14:textId="77777777" w:rsidR="00E8129E" w:rsidRPr="00AF7EE2" w:rsidRDefault="00E8129E" w:rsidP="00E8129E">
      <w:pPr>
        <w:contextualSpacing/>
        <w:rPr>
          <w:sz w:val="24"/>
          <w:szCs w:val="24"/>
        </w:rPr>
      </w:pPr>
    </w:p>
    <w:p w14:paraId="578B114F" w14:textId="0D23E290" w:rsidR="00E8129E" w:rsidRPr="00AF7EE2" w:rsidRDefault="00E8129E" w:rsidP="00E8129E">
      <w:pPr>
        <w:contextualSpacing/>
        <w:rPr>
          <w:sz w:val="24"/>
          <w:szCs w:val="24"/>
        </w:rPr>
      </w:pPr>
      <w:r w:rsidRPr="00AF7EE2">
        <w:rPr>
          <w:sz w:val="24"/>
          <w:szCs w:val="24"/>
        </w:rPr>
        <w:t>Po funkcijskoj klasifikaciji ukupni planirani i izvršeni rashodi pripadaju službi kulture.</w:t>
      </w:r>
    </w:p>
    <w:p w14:paraId="2FFB5225" w14:textId="0BE157DD" w:rsidR="00E8129E" w:rsidRPr="00AF7EE2" w:rsidRDefault="00E8129E" w:rsidP="00010D0A">
      <w:pPr>
        <w:contextualSpacing/>
        <w:rPr>
          <w:sz w:val="24"/>
          <w:szCs w:val="24"/>
        </w:rPr>
      </w:pPr>
    </w:p>
    <w:p w14:paraId="5EF48350" w14:textId="03CCE943" w:rsidR="003C4A89" w:rsidRPr="00AF7EE2" w:rsidRDefault="003C4A89" w:rsidP="00010D0A">
      <w:pPr>
        <w:contextualSpacing/>
        <w:rPr>
          <w:sz w:val="24"/>
          <w:szCs w:val="24"/>
        </w:rPr>
      </w:pPr>
      <w:r w:rsidRPr="00AF7EE2">
        <w:rPr>
          <w:sz w:val="24"/>
          <w:szCs w:val="24"/>
        </w:rPr>
        <w:t xml:space="preserve">U izvještajnom razdoblju nije bilo primitaka i izdataka. </w:t>
      </w:r>
    </w:p>
    <w:p w14:paraId="671D5241" w14:textId="77777777" w:rsidR="003C4A89" w:rsidRPr="00AF7EE2" w:rsidRDefault="003C4A89" w:rsidP="00010D0A">
      <w:pPr>
        <w:contextualSpacing/>
        <w:rPr>
          <w:sz w:val="24"/>
          <w:szCs w:val="24"/>
        </w:rPr>
      </w:pPr>
    </w:p>
    <w:p w14:paraId="1B0BAC5E" w14:textId="42CF636D" w:rsidR="00C5757F" w:rsidRPr="00AF7EE2" w:rsidRDefault="00E90DD7" w:rsidP="00010D0A">
      <w:pPr>
        <w:contextualSpacing/>
        <w:rPr>
          <w:sz w:val="24"/>
          <w:szCs w:val="24"/>
        </w:rPr>
      </w:pPr>
      <w:r w:rsidRPr="00AF7EE2">
        <w:rPr>
          <w:sz w:val="24"/>
          <w:szCs w:val="24"/>
        </w:rPr>
        <w:t>Donos</w:t>
      </w:r>
      <w:r w:rsidR="0051794B" w:rsidRPr="00AF7EE2">
        <w:rPr>
          <w:sz w:val="24"/>
          <w:szCs w:val="24"/>
        </w:rPr>
        <w:t xml:space="preserve"> sredstava iz prethodne godine iznosi </w:t>
      </w:r>
      <w:r w:rsidR="00181684">
        <w:rPr>
          <w:sz w:val="24"/>
          <w:szCs w:val="24"/>
        </w:rPr>
        <w:t>32</w:t>
      </w:r>
      <w:r w:rsidR="0051794B" w:rsidRPr="00AF7EE2">
        <w:rPr>
          <w:sz w:val="24"/>
          <w:szCs w:val="24"/>
        </w:rPr>
        <w:t>.</w:t>
      </w:r>
      <w:r w:rsidR="00181684">
        <w:rPr>
          <w:sz w:val="24"/>
          <w:szCs w:val="24"/>
        </w:rPr>
        <w:t>207</w:t>
      </w:r>
      <w:r w:rsidR="004A71D5" w:rsidRPr="00AF7EE2">
        <w:rPr>
          <w:sz w:val="24"/>
          <w:szCs w:val="24"/>
        </w:rPr>
        <w:t>,</w:t>
      </w:r>
      <w:r w:rsidR="00181684">
        <w:rPr>
          <w:sz w:val="24"/>
          <w:szCs w:val="24"/>
        </w:rPr>
        <w:t>95</w:t>
      </w:r>
      <w:r w:rsidR="0051794B" w:rsidRPr="00AF7EE2">
        <w:rPr>
          <w:sz w:val="24"/>
          <w:szCs w:val="24"/>
        </w:rPr>
        <w:t xml:space="preserve"> EUR, a prijenos sredstava u slijedeć</w:t>
      </w:r>
      <w:r w:rsidR="00354D5A" w:rsidRPr="00AF7EE2">
        <w:rPr>
          <w:sz w:val="24"/>
          <w:szCs w:val="24"/>
        </w:rPr>
        <w:t>e</w:t>
      </w:r>
      <w:r w:rsidR="0051794B" w:rsidRPr="00AF7EE2">
        <w:rPr>
          <w:sz w:val="24"/>
          <w:szCs w:val="24"/>
        </w:rPr>
        <w:t xml:space="preserve"> </w:t>
      </w:r>
      <w:r w:rsidR="00354D5A" w:rsidRPr="00AF7EE2">
        <w:rPr>
          <w:sz w:val="24"/>
          <w:szCs w:val="24"/>
        </w:rPr>
        <w:t>razdoblje</w:t>
      </w:r>
      <w:r w:rsidR="0051794B" w:rsidRPr="00AF7EE2">
        <w:rPr>
          <w:sz w:val="24"/>
          <w:szCs w:val="24"/>
        </w:rPr>
        <w:t xml:space="preserve"> iznosi </w:t>
      </w:r>
      <w:r w:rsidR="00181684">
        <w:rPr>
          <w:sz w:val="24"/>
          <w:szCs w:val="24"/>
        </w:rPr>
        <w:t>33</w:t>
      </w:r>
      <w:r w:rsidR="004A71D5" w:rsidRPr="00AF7EE2">
        <w:rPr>
          <w:sz w:val="24"/>
          <w:szCs w:val="24"/>
        </w:rPr>
        <w:t>.</w:t>
      </w:r>
      <w:r w:rsidR="00181684">
        <w:rPr>
          <w:sz w:val="24"/>
          <w:szCs w:val="24"/>
        </w:rPr>
        <w:t>807</w:t>
      </w:r>
      <w:r w:rsidR="004A71D5" w:rsidRPr="00AF7EE2">
        <w:rPr>
          <w:sz w:val="24"/>
          <w:szCs w:val="24"/>
        </w:rPr>
        <w:t>,</w:t>
      </w:r>
      <w:r w:rsidR="00181684">
        <w:rPr>
          <w:sz w:val="24"/>
          <w:szCs w:val="24"/>
        </w:rPr>
        <w:t>32</w:t>
      </w:r>
      <w:r w:rsidR="0051794B" w:rsidRPr="00AF7EE2">
        <w:rPr>
          <w:sz w:val="24"/>
          <w:szCs w:val="24"/>
        </w:rPr>
        <w:t xml:space="preserve"> EUR.</w:t>
      </w:r>
    </w:p>
    <w:p w14:paraId="1A010623" w14:textId="5B083ACA" w:rsidR="003C4A89" w:rsidRPr="00AF7EE2" w:rsidRDefault="003C4A89" w:rsidP="00010D0A">
      <w:pPr>
        <w:contextualSpacing/>
        <w:rPr>
          <w:sz w:val="24"/>
          <w:szCs w:val="24"/>
        </w:rPr>
      </w:pPr>
    </w:p>
    <w:p w14:paraId="65C442AE" w14:textId="2926174E" w:rsidR="00354D5A" w:rsidRDefault="00354D5A" w:rsidP="00010D0A">
      <w:pPr>
        <w:contextualSpacing/>
        <w:rPr>
          <w:sz w:val="24"/>
          <w:szCs w:val="24"/>
        </w:rPr>
      </w:pPr>
    </w:p>
    <w:p w14:paraId="3558C27C" w14:textId="77777777" w:rsidR="00181684" w:rsidRPr="00AF7EE2" w:rsidRDefault="00181684" w:rsidP="00010D0A">
      <w:pPr>
        <w:contextualSpacing/>
        <w:rPr>
          <w:sz w:val="24"/>
          <w:szCs w:val="24"/>
        </w:rPr>
      </w:pPr>
    </w:p>
    <w:p w14:paraId="49D3A827" w14:textId="0E759980" w:rsidR="00354D5A" w:rsidRDefault="00354D5A" w:rsidP="00010D0A">
      <w:pPr>
        <w:contextualSpacing/>
        <w:rPr>
          <w:sz w:val="24"/>
          <w:szCs w:val="24"/>
        </w:rPr>
      </w:pPr>
    </w:p>
    <w:p w14:paraId="508E6E35" w14:textId="77777777" w:rsidR="0089593E" w:rsidRPr="00AF7EE2" w:rsidRDefault="0089593E" w:rsidP="00010D0A">
      <w:pPr>
        <w:contextualSpacing/>
        <w:rPr>
          <w:sz w:val="24"/>
          <w:szCs w:val="24"/>
        </w:rPr>
      </w:pPr>
    </w:p>
    <w:p w14:paraId="49527235" w14:textId="7AF447F9" w:rsidR="00354D5A" w:rsidRPr="00AF7EE2" w:rsidRDefault="00354D5A" w:rsidP="00010D0A">
      <w:pPr>
        <w:contextualSpacing/>
        <w:rPr>
          <w:sz w:val="24"/>
          <w:szCs w:val="24"/>
        </w:rPr>
      </w:pPr>
    </w:p>
    <w:p w14:paraId="125C23C7" w14:textId="0326D5A1" w:rsidR="00BC0E70" w:rsidRDefault="00BC0E70" w:rsidP="00BC0E70">
      <w:pPr>
        <w:pStyle w:val="ListParagraph"/>
        <w:numPr>
          <w:ilvl w:val="0"/>
          <w:numId w:val="12"/>
        </w:numPr>
        <w:rPr>
          <w:b/>
          <w:sz w:val="24"/>
          <w:szCs w:val="24"/>
        </w:rPr>
      </w:pPr>
      <w:r w:rsidRPr="00AF7EE2">
        <w:rPr>
          <w:b/>
          <w:sz w:val="24"/>
          <w:szCs w:val="24"/>
        </w:rPr>
        <w:lastRenderedPageBreak/>
        <w:t>OBRAZLOŽENJE POSEBNOG DIJELA</w:t>
      </w:r>
    </w:p>
    <w:p w14:paraId="03DE23F6" w14:textId="77777777" w:rsidR="0089593E" w:rsidRPr="00AF7EE2" w:rsidRDefault="0089593E" w:rsidP="0089593E">
      <w:pPr>
        <w:pStyle w:val="ListParagraph"/>
        <w:ind w:left="1080"/>
        <w:rPr>
          <w:b/>
          <w:sz w:val="24"/>
          <w:szCs w:val="24"/>
        </w:rPr>
      </w:pPr>
    </w:p>
    <w:p w14:paraId="25E6F372" w14:textId="2B9EB828" w:rsidR="003C208B" w:rsidRPr="00AF7EE2" w:rsidRDefault="003C208B" w:rsidP="003C208B">
      <w:pPr>
        <w:contextualSpacing/>
        <w:rPr>
          <w:sz w:val="24"/>
          <w:szCs w:val="24"/>
        </w:rPr>
      </w:pPr>
      <w:r w:rsidRPr="00AF7EE2">
        <w:rPr>
          <w:sz w:val="24"/>
          <w:szCs w:val="24"/>
        </w:rPr>
        <w:t xml:space="preserve">U posebnom dijelu je prikazano izvršenje financijskog plana </w:t>
      </w:r>
      <w:r w:rsidR="00A10EF7" w:rsidRPr="00AF7EE2">
        <w:rPr>
          <w:sz w:val="24"/>
          <w:szCs w:val="24"/>
        </w:rPr>
        <w:t xml:space="preserve">rashoda </w:t>
      </w:r>
      <w:r w:rsidRPr="00AF7EE2">
        <w:rPr>
          <w:sz w:val="24"/>
          <w:szCs w:val="24"/>
        </w:rPr>
        <w:t>po aktivnostima i po izvorima financiranja, te je u njemu moguće vidjeti kako je</w:t>
      </w:r>
      <w:r w:rsidR="00052842" w:rsidRPr="00AF7EE2">
        <w:rPr>
          <w:sz w:val="24"/>
          <w:szCs w:val="24"/>
        </w:rPr>
        <w:t xml:space="preserve"> izvršen</w:t>
      </w:r>
      <w:r w:rsidRPr="00AF7EE2">
        <w:rPr>
          <w:sz w:val="24"/>
          <w:szCs w:val="24"/>
        </w:rPr>
        <w:t xml:space="preserve"> plan po svakom od njih.</w:t>
      </w:r>
    </w:p>
    <w:p w14:paraId="030B9CD1" w14:textId="77777777" w:rsidR="00052842" w:rsidRPr="00AF7EE2" w:rsidRDefault="00052842" w:rsidP="003C208B">
      <w:pPr>
        <w:contextualSpacing/>
        <w:rPr>
          <w:sz w:val="24"/>
          <w:szCs w:val="24"/>
        </w:rPr>
      </w:pPr>
    </w:p>
    <w:p w14:paraId="0FCFA2A1" w14:textId="6ED0A7D6" w:rsidR="00052842" w:rsidRPr="00AF7EE2" w:rsidRDefault="001738CF">
      <w:pPr>
        <w:contextualSpacing/>
        <w:rPr>
          <w:sz w:val="24"/>
          <w:szCs w:val="24"/>
        </w:rPr>
      </w:pPr>
      <w:r w:rsidRPr="00AF7EE2">
        <w:rPr>
          <w:sz w:val="24"/>
          <w:szCs w:val="24"/>
        </w:rPr>
        <w:t xml:space="preserve">Aktivnost </w:t>
      </w:r>
      <w:r w:rsidR="00052842" w:rsidRPr="00AF7EE2">
        <w:rPr>
          <w:sz w:val="24"/>
          <w:szCs w:val="24"/>
        </w:rPr>
        <w:t>A780000 Administracija i upravljanje</w:t>
      </w:r>
    </w:p>
    <w:p w14:paraId="761D7D89" w14:textId="77777777" w:rsidR="00052842" w:rsidRPr="00AF7EE2" w:rsidRDefault="00052842">
      <w:pPr>
        <w:contextualSpacing/>
        <w:rPr>
          <w:sz w:val="24"/>
          <w:szCs w:val="24"/>
        </w:rPr>
      </w:pPr>
    </w:p>
    <w:p w14:paraId="6C6ECB01" w14:textId="644020CE" w:rsidR="00CA378B" w:rsidRPr="00AF7EE2" w:rsidRDefault="00052842">
      <w:pPr>
        <w:contextualSpacing/>
        <w:rPr>
          <w:sz w:val="24"/>
          <w:szCs w:val="24"/>
        </w:rPr>
      </w:pPr>
      <w:r w:rsidRPr="00AF7EE2">
        <w:rPr>
          <w:sz w:val="24"/>
          <w:szCs w:val="24"/>
        </w:rPr>
        <w:t xml:space="preserve">Na ovoj aktivnosti </w:t>
      </w:r>
      <w:r w:rsidR="00A10EF7" w:rsidRPr="00AF7EE2">
        <w:rPr>
          <w:sz w:val="24"/>
          <w:szCs w:val="24"/>
        </w:rPr>
        <w:t xml:space="preserve">planirani rashodi iznose </w:t>
      </w:r>
      <w:r w:rsidR="001D488C">
        <w:rPr>
          <w:sz w:val="24"/>
          <w:szCs w:val="24"/>
        </w:rPr>
        <w:t>633</w:t>
      </w:r>
      <w:r w:rsidR="00CA378B" w:rsidRPr="00AF7EE2">
        <w:rPr>
          <w:sz w:val="24"/>
          <w:szCs w:val="24"/>
        </w:rPr>
        <w:t>.</w:t>
      </w:r>
      <w:r w:rsidR="001D488C">
        <w:rPr>
          <w:sz w:val="24"/>
          <w:szCs w:val="24"/>
        </w:rPr>
        <w:t>976</w:t>
      </w:r>
      <w:r w:rsidR="000F0258">
        <w:rPr>
          <w:sz w:val="24"/>
          <w:szCs w:val="24"/>
        </w:rPr>
        <w:t>,</w:t>
      </w:r>
      <w:r w:rsidR="001D488C">
        <w:rPr>
          <w:sz w:val="24"/>
          <w:szCs w:val="24"/>
        </w:rPr>
        <w:t>07</w:t>
      </w:r>
      <w:r w:rsidR="00CA378B" w:rsidRPr="00AF7EE2">
        <w:rPr>
          <w:sz w:val="24"/>
          <w:szCs w:val="24"/>
        </w:rPr>
        <w:t xml:space="preserve"> EUR</w:t>
      </w:r>
      <w:r w:rsidR="00A10EF7" w:rsidRPr="00AF7EE2">
        <w:rPr>
          <w:sz w:val="24"/>
          <w:szCs w:val="24"/>
        </w:rPr>
        <w:t xml:space="preserve"> </w:t>
      </w:r>
      <w:r w:rsidR="00CA378B" w:rsidRPr="00AF7EE2">
        <w:rPr>
          <w:sz w:val="24"/>
          <w:szCs w:val="24"/>
        </w:rPr>
        <w:t xml:space="preserve">, a izvršeno </w:t>
      </w:r>
      <w:r w:rsidR="00A10EF7" w:rsidRPr="00AF7EE2">
        <w:rPr>
          <w:sz w:val="24"/>
          <w:szCs w:val="24"/>
        </w:rPr>
        <w:t xml:space="preserve">je </w:t>
      </w:r>
      <w:r w:rsidR="001D488C">
        <w:rPr>
          <w:sz w:val="24"/>
          <w:szCs w:val="24"/>
        </w:rPr>
        <w:t>627</w:t>
      </w:r>
      <w:r w:rsidR="00CA378B" w:rsidRPr="00AF7EE2">
        <w:rPr>
          <w:sz w:val="24"/>
          <w:szCs w:val="24"/>
        </w:rPr>
        <w:t>.</w:t>
      </w:r>
      <w:r w:rsidR="001D488C">
        <w:rPr>
          <w:sz w:val="24"/>
          <w:szCs w:val="24"/>
        </w:rPr>
        <w:t>103</w:t>
      </w:r>
      <w:r w:rsidRPr="00AF7EE2">
        <w:rPr>
          <w:sz w:val="24"/>
          <w:szCs w:val="24"/>
        </w:rPr>
        <w:t>,</w:t>
      </w:r>
      <w:r w:rsidR="001D488C">
        <w:rPr>
          <w:sz w:val="24"/>
          <w:szCs w:val="24"/>
        </w:rPr>
        <w:t>51</w:t>
      </w:r>
      <w:r w:rsidR="00CA378B" w:rsidRPr="00AF7EE2">
        <w:rPr>
          <w:sz w:val="24"/>
          <w:szCs w:val="24"/>
        </w:rPr>
        <w:t xml:space="preserve"> EUR, što iznosi </w:t>
      </w:r>
      <w:r w:rsidR="001D488C">
        <w:rPr>
          <w:sz w:val="24"/>
          <w:szCs w:val="24"/>
        </w:rPr>
        <w:t>98</w:t>
      </w:r>
      <w:r w:rsidRPr="00AF7EE2">
        <w:rPr>
          <w:sz w:val="24"/>
          <w:szCs w:val="24"/>
        </w:rPr>
        <w:t>,</w:t>
      </w:r>
      <w:r w:rsidR="001D488C">
        <w:rPr>
          <w:sz w:val="24"/>
          <w:szCs w:val="24"/>
        </w:rPr>
        <w:t>92</w:t>
      </w:r>
      <w:r w:rsidR="00CA378B" w:rsidRPr="00AF7EE2">
        <w:rPr>
          <w:sz w:val="24"/>
          <w:szCs w:val="24"/>
        </w:rPr>
        <w:t>% izvršenja godišnjeg plana</w:t>
      </w:r>
      <w:r w:rsidR="003B259D" w:rsidRPr="00AF7EE2">
        <w:rPr>
          <w:sz w:val="24"/>
          <w:szCs w:val="24"/>
        </w:rPr>
        <w:t>.</w:t>
      </w:r>
    </w:p>
    <w:p w14:paraId="46C5887F" w14:textId="1D70EFBA" w:rsidR="0051794B" w:rsidRPr="00AF7EE2" w:rsidRDefault="00052842">
      <w:pPr>
        <w:contextualSpacing/>
        <w:rPr>
          <w:sz w:val="24"/>
          <w:szCs w:val="24"/>
        </w:rPr>
      </w:pPr>
      <w:r w:rsidRPr="00AF7EE2">
        <w:rPr>
          <w:sz w:val="24"/>
          <w:szCs w:val="24"/>
        </w:rPr>
        <w:t>Aktivnost</w:t>
      </w:r>
      <w:r w:rsidR="0051794B" w:rsidRPr="00AF7EE2">
        <w:rPr>
          <w:sz w:val="24"/>
          <w:szCs w:val="24"/>
        </w:rPr>
        <w:t xml:space="preserve"> je financirana iz </w:t>
      </w:r>
      <w:r w:rsidRPr="00AF7EE2">
        <w:rPr>
          <w:sz w:val="24"/>
          <w:szCs w:val="24"/>
        </w:rPr>
        <w:t>proračuna (</w:t>
      </w:r>
      <w:r w:rsidR="0051794B" w:rsidRPr="00AF7EE2">
        <w:rPr>
          <w:sz w:val="24"/>
          <w:szCs w:val="24"/>
        </w:rPr>
        <w:t>izvor 11</w:t>
      </w:r>
      <w:r w:rsidRPr="00AF7EE2">
        <w:rPr>
          <w:sz w:val="24"/>
          <w:szCs w:val="24"/>
        </w:rPr>
        <w:t>).</w:t>
      </w:r>
    </w:p>
    <w:p w14:paraId="22FFFD47" w14:textId="77144B33" w:rsidR="0075227A" w:rsidRPr="00AF7EE2" w:rsidRDefault="0075227A">
      <w:pPr>
        <w:contextualSpacing/>
        <w:rPr>
          <w:sz w:val="24"/>
          <w:szCs w:val="24"/>
        </w:rPr>
      </w:pPr>
    </w:p>
    <w:p w14:paraId="6095CEC0" w14:textId="034D16E9" w:rsidR="00052842" w:rsidRPr="00AF7EE2" w:rsidRDefault="00052842">
      <w:pPr>
        <w:contextualSpacing/>
        <w:rPr>
          <w:sz w:val="24"/>
          <w:szCs w:val="24"/>
        </w:rPr>
      </w:pPr>
      <w:r w:rsidRPr="00AF7EE2">
        <w:rPr>
          <w:sz w:val="24"/>
          <w:szCs w:val="24"/>
        </w:rPr>
        <w:t>Aktivnost A78000</w:t>
      </w:r>
      <w:r w:rsidR="001D488C">
        <w:rPr>
          <w:sz w:val="24"/>
          <w:szCs w:val="24"/>
        </w:rPr>
        <w:t>1</w:t>
      </w:r>
      <w:r w:rsidRPr="00AF7EE2">
        <w:rPr>
          <w:sz w:val="24"/>
          <w:szCs w:val="24"/>
        </w:rPr>
        <w:t xml:space="preserve"> Programska djelatnost</w:t>
      </w:r>
    </w:p>
    <w:p w14:paraId="3724E368" w14:textId="77777777" w:rsidR="00052842" w:rsidRPr="00AF7EE2" w:rsidRDefault="00052842">
      <w:pPr>
        <w:contextualSpacing/>
        <w:rPr>
          <w:sz w:val="24"/>
          <w:szCs w:val="24"/>
        </w:rPr>
      </w:pPr>
    </w:p>
    <w:p w14:paraId="3A662C2C" w14:textId="005FD3EC" w:rsidR="00CA378B" w:rsidRPr="00AF7EE2" w:rsidRDefault="00052842" w:rsidP="00CA378B">
      <w:pPr>
        <w:contextualSpacing/>
        <w:rPr>
          <w:sz w:val="24"/>
          <w:szCs w:val="24"/>
        </w:rPr>
      </w:pPr>
      <w:r w:rsidRPr="00AF7EE2">
        <w:rPr>
          <w:sz w:val="24"/>
          <w:szCs w:val="24"/>
        </w:rPr>
        <w:t xml:space="preserve">Na ovoj aktivnosti </w:t>
      </w:r>
      <w:r w:rsidR="00A10EF7" w:rsidRPr="00AF7EE2">
        <w:rPr>
          <w:sz w:val="24"/>
          <w:szCs w:val="24"/>
        </w:rPr>
        <w:t>planirani rashodi iznose</w:t>
      </w:r>
      <w:r w:rsidR="00CA378B" w:rsidRPr="00AF7EE2">
        <w:rPr>
          <w:sz w:val="24"/>
          <w:szCs w:val="24"/>
        </w:rPr>
        <w:t xml:space="preserve"> </w:t>
      </w:r>
      <w:r w:rsidR="0051794B" w:rsidRPr="00AF7EE2">
        <w:rPr>
          <w:sz w:val="24"/>
          <w:szCs w:val="24"/>
        </w:rPr>
        <w:t>3</w:t>
      </w:r>
      <w:r w:rsidRPr="00AF7EE2">
        <w:rPr>
          <w:sz w:val="24"/>
          <w:szCs w:val="24"/>
        </w:rPr>
        <w:t>5</w:t>
      </w:r>
      <w:r w:rsidR="00CA378B" w:rsidRPr="00AF7EE2">
        <w:rPr>
          <w:sz w:val="24"/>
          <w:szCs w:val="24"/>
        </w:rPr>
        <w:t>.</w:t>
      </w:r>
      <w:r w:rsidRPr="00AF7EE2">
        <w:rPr>
          <w:sz w:val="24"/>
          <w:szCs w:val="24"/>
        </w:rPr>
        <w:t>936</w:t>
      </w:r>
      <w:r w:rsidR="000F0258">
        <w:rPr>
          <w:sz w:val="24"/>
          <w:szCs w:val="24"/>
        </w:rPr>
        <w:t>,00</w:t>
      </w:r>
      <w:r w:rsidR="00CA378B" w:rsidRPr="00AF7EE2">
        <w:rPr>
          <w:sz w:val="24"/>
          <w:szCs w:val="24"/>
        </w:rPr>
        <w:t xml:space="preserve"> EUR, a izvršeno</w:t>
      </w:r>
      <w:r w:rsidR="00A10EF7" w:rsidRPr="00AF7EE2">
        <w:rPr>
          <w:sz w:val="24"/>
          <w:szCs w:val="24"/>
        </w:rPr>
        <w:t xml:space="preserve"> je</w:t>
      </w:r>
      <w:r w:rsidR="00CA378B" w:rsidRPr="00AF7EE2">
        <w:rPr>
          <w:sz w:val="24"/>
          <w:szCs w:val="24"/>
        </w:rPr>
        <w:t xml:space="preserve"> </w:t>
      </w:r>
      <w:r w:rsidR="001D488C">
        <w:rPr>
          <w:sz w:val="24"/>
          <w:szCs w:val="24"/>
        </w:rPr>
        <w:t>35.855,73</w:t>
      </w:r>
      <w:r w:rsidR="0051794B" w:rsidRPr="00AF7EE2">
        <w:rPr>
          <w:sz w:val="24"/>
          <w:szCs w:val="24"/>
        </w:rPr>
        <w:t xml:space="preserve"> </w:t>
      </w:r>
      <w:r w:rsidR="00CA378B" w:rsidRPr="00AF7EE2">
        <w:rPr>
          <w:sz w:val="24"/>
          <w:szCs w:val="24"/>
        </w:rPr>
        <w:t>EUR, što iznosi</w:t>
      </w:r>
      <w:r w:rsidR="001D488C">
        <w:rPr>
          <w:sz w:val="24"/>
          <w:szCs w:val="24"/>
        </w:rPr>
        <w:t xml:space="preserve"> 99,78</w:t>
      </w:r>
      <w:r w:rsidR="00CA378B" w:rsidRPr="00AF7EE2">
        <w:rPr>
          <w:sz w:val="24"/>
          <w:szCs w:val="24"/>
        </w:rPr>
        <w:t>% izvršenja  godišnjeg plana</w:t>
      </w:r>
      <w:r w:rsidR="003B259D" w:rsidRPr="00AF7EE2">
        <w:rPr>
          <w:sz w:val="24"/>
          <w:szCs w:val="24"/>
        </w:rPr>
        <w:t>.</w:t>
      </w:r>
    </w:p>
    <w:p w14:paraId="081A817B" w14:textId="31F19F16" w:rsidR="004B0DA4" w:rsidRPr="00AF7EE2" w:rsidRDefault="0051794B" w:rsidP="004B0DA4">
      <w:pPr>
        <w:contextualSpacing/>
        <w:rPr>
          <w:sz w:val="24"/>
          <w:szCs w:val="24"/>
        </w:rPr>
      </w:pPr>
      <w:r w:rsidRPr="00AF7EE2">
        <w:rPr>
          <w:sz w:val="24"/>
          <w:szCs w:val="24"/>
        </w:rPr>
        <w:t>Programska djelatnost je financirana iz</w:t>
      </w:r>
      <w:r w:rsidR="00052842" w:rsidRPr="00AF7EE2">
        <w:rPr>
          <w:sz w:val="24"/>
          <w:szCs w:val="24"/>
        </w:rPr>
        <w:t xml:space="preserve"> proračuna</w:t>
      </w:r>
      <w:r w:rsidRPr="00AF7EE2">
        <w:rPr>
          <w:sz w:val="24"/>
          <w:szCs w:val="24"/>
        </w:rPr>
        <w:t xml:space="preserve"> </w:t>
      </w:r>
      <w:r w:rsidR="00052842" w:rsidRPr="00AF7EE2">
        <w:rPr>
          <w:sz w:val="24"/>
          <w:szCs w:val="24"/>
        </w:rPr>
        <w:t>(</w:t>
      </w:r>
      <w:r w:rsidRPr="00AF7EE2">
        <w:rPr>
          <w:sz w:val="24"/>
          <w:szCs w:val="24"/>
        </w:rPr>
        <w:t>izvor 11</w:t>
      </w:r>
      <w:r w:rsidR="00052842" w:rsidRPr="00AF7EE2">
        <w:rPr>
          <w:sz w:val="24"/>
          <w:szCs w:val="24"/>
        </w:rPr>
        <w:t>).</w:t>
      </w:r>
    </w:p>
    <w:p w14:paraId="5099AB0D" w14:textId="77777777" w:rsidR="00052842" w:rsidRPr="00AF7EE2" w:rsidRDefault="00052842" w:rsidP="004B0DA4">
      <w:pPr>
        <w:contextualSpacing/>
        <w:rPr>
          <w:sz w:val="24"/>
          <w:szCs w:val="24"/>
        </w:rPr>
      </w:pPr>
    </w:p>
    <w:p w14:paraId="38022E81" w14:textId="10A97928" w:rsidR="004B0DA4" w:rsidRPr="00AF7EE2" w:rsidRDefault="004B0DA4" w:rsidP="004B0DA4">
      <w:pPr>
        <w:contextualSpacing/>
        <w:rPr>
          <w:sz w:val="24"/>
          <w:szCs w:val="24"/>
        </w:rPr>
      </w:pPr>
      <w:r w:rsidRPr="00AF7EE2">
        <w:rPr>
          <w:sz w:val="24"/>
          <w:szCs w:val="24"/>
        </w:rPr>
        <w:t>Kroz programsku djelatnost prov</w:t>
      </w:r>
      <w:r w:rsidR="00382A3B" w:rsidRPr="00AF7EE2">
        <w:rPr>
          <w:sz w:val="24"/>
          <w:szCs w:val="24"/>
        </w:rPr>
        <w:t>ode</w:t>
      </w:r>
      <w:r w:rsidRPr="00AF7EE2">
        <w:rPr>
          <w:sz w:val="24"/>
          <w:szCs w:val="24"/>
        </w:rPr>
        <w:t xml:space="preserve"> s</w:t>
      </w:r>
      <w:r w:rsidR="00382A3B" w:rsidRPr="00AF7EE2">
        <w:rPr>
          <w:sz w:val="24"/>
          <w:szCs w:val="24"/>
        </w:rPr>
        <w:t>e</w:t>
      </w:r>
      <w:r w:rsidRPr="00AF7EE2">
        <w:rPr>
          <w:sz w:val="24"/>
          <w:szCs w:val="24"/>
        </w:rPr>
        <w:t xml:space="preserve"> slijedeći </w:t>
      </w:r>
      <w:r w:rsidR="00067DD6" w:rsidRPr="00AF7EE2">
        <w:rPr>
          <w:sz w:val="24"/>
          <w:szCs w:val="24"/>
        </w:rPr>
        <w:t xml:space="preserve">posebni </w:t>
      </w:r>
      <w:r w:rsidRPr="00AF7EE2">
        <w:rPr>
          <w:sz w:val="24"/>
          <w:szCs w:val="24"/>
        </w:rPr>
        <w:t>programi:</w:t>
      </w:r>
    </w:p>
    <w:p w14:paraId="76375C9E" w14:textId="055E7460" w:rsidR="002A7D21" w:rsidRPr="00AF7EE2" w:rsidRDefault="002A7D21" w:rsidP="00114D6E">
      <w:pPr>
        <w:pStyle w:val="ListParagraph"/>
        <w:numPr>
          <w:ilvl w:val="0"/>
          <w:numId w:val="15"/>
        </w:numPr>
        <w:rPr>
          <w:sz w:val="24"/>
          <w:szCs w:val="24"/>
        </w:rPr>
      </w:pPr>
      <w:r w:rsidRPr="00AF7EE2">
        <w:rPr>
          <w:sz w:val="24"/>
          <w:szCs w:val="24"/>
        </w:rPr>
        <w:t>Digitalna pristupačnost web stranice Tiflološkog muzeja</w:t>
      </w:r>
    </w:p>
    <w:p w14:paraId="39B3C6DE" w14:textId="12ADEAD1" w:rsidR="002A7D21" w:rsidRPr="00AF7EE2" w:rsidRDefault="002A7D21" w:rsidP="00356569">
      <w:pPr>
        <w:pStyle w:val="ListParagraph"/>
        <w:numPr>
          <w:ilvl w:val="0"/>
          <w:numId w:val="15"/>
        </w:numPr>
        <w:rPr>
          <w:sz w:val="24"/>
          <w:szCs w:val="24"/>
        </w:rPr>
      </w:pPr>
      <w:r w:rsidRPr="00AF7EE2">
        <w:rPr>
          <w:sz w:val="24"/>
          <w:szCs w:val="24"/>
        </w:rPr>
        <w:t xml:space="preserve">Digitalizacija uredskog poslovanja </w:t>
      </w:r>
    </w:p>
    <w:p w14:paraId="351609CD" w14:textId="70C5B698" w:rsidR="002A7D21" w:rsidRPr="00AF7EE2" w:rsidRDefault="002A7D21" w:rsidP="00356569">
      <w:pPr>
        <w:pStyle w:val="ListParagraph"/>
        <w:numPr>
          <w:ilvl w:val="0"/>
          <w:numId w:val="15"/>
        </w:numPr>
        <w:rPr>
          <w:sz w:val="24"/>
          <w:szCs w:val="24"/>
        </w:rPr>
      </w:pPr>
      <w:r w:rsidRPr="00AF7EE2">
        <w:rPr>
          <w:sz w:val="24"/>
          <w:szCs w:val="24"/>
        </w:rPr>
        <w:t>Informatizacija-nabava informatičke opreme</w:t>
      </w:r>
    </w:p>
    <w:p w14:paraId="6BFAD070" w14:textId="6F9F3AA4" w:rsidR="002A7D21" w:rsidRPr="00AF7EE2" w:rsidRDefault="002A7D21" w:rsidP="00356569">
      <w:pPr>
        <w:pStyle w:val="ListParagraph"/>
        <w:numPr>
          <w:ilvl w:val="0"/>
          <w:numId w:val="15"/>
        </w:numPr>
        <w:rPr>
          <w:sz w:val="24"/>
          <w:szCs w:val="24"/>
        </w:rPr>
      </w:pPr>
      <w:r w:rsidRPr="00AF7EE2">
        <w:rPr>
          <w:sz w:val="24"/>
          <w:szCs w:val="24"/>
        </w:rPr>
        <w:t>Investicije</w:t>
      </w:r>
    </w:p>
    <w:p w14:paraId="4A99A3D5" w14:textId="0D6EA698" w:rsidR="002A7D21" w:rsidRPr="00AF7EE2" w:rsidRDefault="002A7D21" w:rsidP="00356569">
      <w:pPr>
        <w:pStyle w:val="ListParagraph"/>
        <w:numPr>
          <w:ilvl w:val="0"/>
          <w:numId w:val="15"/>
        </w:numPr>
        <w:rPr>
          <w:sz w:val="24"/>
          <w:szCs w:val="24"/>
        </w:rPr>
      </w:pPr>
      <w:r w:rsidRPr="00AF7EE2">
        <w:rPr>
          <w:sz w:val="24"/>
          <w:szCs w:val="24"/>
        </w:rPr>
        <w:t>Izložba Donacija dr. Zvonimir Pavišić</w:t>
      </w:r>
    </w:p>
    <w:p w14:paraId="68F9D355" w14:textId="20783C6B" w:rsidR="002A7D21" w:rsidRPr="00AF7EE2" w:rsidRDefault="002A7D21" w:rsidP="00356569">
      <w:pPr>
        <w:pStyle w:val="ListParagraph"/>
        <w:numPr>
          <w:ilvl w:val="0"/>
          <w:numId w:val="15"/>
        </w:numPr>
        <w:rPr>
          <w:sz w:val="24"/>
          <w:szCs w:val="24"/>
        </w:rPr>
      </w:pPr>
      <w:r w:rsidRPr="00AF7EE2">
        <w:rPr>
          <w:sz w:val="24"/>
          <w:szCs w:val="24"/>
        </w:rPr>
        <w:t>Izložba Velika djela iz kolekcije Pavla Beljanskog</w:t>
      </w:r>
    </w:p>
    <w:p w14:paraId="3FB29682" w14:textId="6A506F19" w:rsidR="002A7D21" w:rsidRPr="00AF7EE2" w:rsidRDefault="002A7D21" w:rsidP="00356569">
      <w:pPr>
        <w:pStyle w:val="ListParagraph"/>
        <w:numPr>
          <w:ilvl w:val="0"/>
          <w:numId w:val="15"/>
        </w:numPr>
        <w:rPr>
          <w:sz w:val="24"/>
          <w:szCs w:val="24"/>
        </w:rPr>
      </w:pPr>
      <w:r w:rsidRPr="00AF7EE2">
        <w:rPr>
          <w:sz w:val="24"/>
          <w:szCs w:val="24"/>
        </w:rPr>
        <w:t>Izmjene u stalnom postavu</w:t>
      </w:r>
    </w:p>
    <w:p w14:paraId="2AC2F0B8" w14:textId="3218B5FD" w:rsidR="002A7D21" w:rsidRPr="00AF7EE2" w:rsidRDefault="002A7D21" w:rsidP="00356569">
      <w:pPr>
        <w:pStyle w:val="ListParagraph"/>
        <w:numPr>
          <w:ilvl w:val="0"/>
          <w:numId w:val="15"/>
        </w:numPr>
        <w:rPr>
          <w:sz w:val="24"/>
          <w:szCs w:val="24"/>
        </w:rPr>
      </w:pPr>
      <w:r w:rsidRPr="00AF7EE2">
        <w:rPr>
          <w:sz w:val="24"/>
          <w:szCs w:val="24"/>
        </w:rPr>
        <w:t>Pedagoški programi</w:t>
      </w:r>
    </w:p>
    <w:p w14:paraId="790A6880" w14:textId="50BD2F3A" w:rsidR="002A7D21" w:rsidRPr="00AF7EE2" w:rsidRDefault="002A7D21" w:rsidP="00356569">
      <w:pPr>
        <w:pStyle w:val="ListParagraph"/>
        <w:numPr>
          <w:ilvl w:val="0"/>
          <w:numId w:val="15"/>
        </w:numPr>
        <w:rPr>
          <w:sz w:val="24"/>
          <w:szCs w:val="24"/>
        </w:rPr>
      </w:pPr>
      <w:r w:rsidRPr="00AF7EE2">
        <w:rPr>
          <w:sz w:val="24"/>
          <w:szCs w:val="24"/>
        </w:rPr>
        <w:t>Slijepi vodič kroz stalni postav Tiflološkog muzeja</w:t>
      </w:r>
    </w:p>
    <w:p w14:paraId="04C9A34F" w14:textId="0E538B7E" w:rsidR="002A7D21" w:rsidRPr="00AF7EE2" w:rsidRDefault="002A7D21" w:rsidP="00356569">
      <w:pPr>
        <w:pStyle w:val="ListParagraph"/>
        <w:numPr>
          <w:ilvl w:val="0"/>
          <w:numId w:val="15"/>
        </w:numPr>
        <w:rPr>
          <w:sz w:val="24"/>
          <w:szCs w:val="24"/>
        </w:rPr>
      </w:pPr>
      <w:r w:rsidRPr="00AF7EE2">
        <w:rPr>
          <w:sz w:val="24"/>
          <w:szCs w:val="24"/>
        </w:rPr>
        <w:t>Nabava beskiselinskih i arhivskih kutija</w:t>
      </w:r>
    </w:p>
    <w:p w14:paraId="361B130D" w14:textId="6F88210B" w:rsidR="002A7D21" w:rsidRPr="00AF7EE2" w:rsidRDefault="002A7D21" w:rsidP="00356569">
      <w:pPr>
        <w:pStyle w:val="ListParagraph"/>
        <w:numPr>
          <w:ilvl w:val="0"/>
          <w:numId w:val="15"/>
        </w:numPr>
        <w:rPr>
          <w:sz w:val="24"/>
          <w:szCs w:val="24"/>
        </w:rPr>
      </w:pPr>
      <w:r w:rsidRPr="00AF7EE2">
        <w:rPr>
          <w:sz w:val="24"/>
          <w:szCs w:val="24"/>
        </w:rPr>
        <w:t>Izdavanje priručnika Pristupačnost za sve -II</w:t>
      </w:r>
    </w:p>
    <w:p w14:paraId="546885C0" w14:textId="55413AC1" w:rsidR="002A7D21" w:rsidRDefault="002A7D21" w:rsidP="00356569">
      <w:pPr>
        <w:pStyle w:val="ListParagraph"/>
        <w:numPr>
          <w:ilvl w:val="0"/>
          <w:numId w:val="15"/>
        </w:numPr>
        <w:rPr>
          <w:sz w:val="24"/>
          <w:szCs w:val="24"/>
        </w:rPr>
      </w:pPr>
      <w:bookmarkStart w:id="1" w:name="_Hlk204674153"/>
      <w:r w:rsidRPr="00AF7EE2">
        <w:rPr>
          <w:sz w:val="24"/>
          <w:szCs w:val="24"/>
        </w:rPr>
        <w:t>Restauracija Oftalmološke zbirke</w:t>
      </w:r>
    </w:p>
    <w:p w14:paraId="4277EFC8" w14:textId="77777777" w:rsidR="0089593E" w:rsidRDefault="0089593E" w:rsidP="0089593E">
      <w:pPr>
        <w:pStyle w:val="ListParagraph"/>
        <w:rPr>
          <w:sz w:val="24"/>
          <w:szCs w:val="24"/>
        </w:rPr>
      </w:pPr>
    </w:p>
    <w:bookmarkEnd w:id="1"/>
    <w:p w14:paraId="5E6FFAB4" w14:textId="1286FCBD" w:rsidR="00F24039" w:rsidRPr="00AF7EE2" w:rsidRDefault="00F24039" w:rsidP="00F24039">
      <w:pPr>
        <w:contextualSpacing/>
        <w:rPr>
          <w:sz w:val="24"/>
          <w:szCs w:val="24"/>
        </w:rPr>
      </w:pPr>
      <w:r w:rsidRPr="00AF7EE2">
        <w:rPr>
          <w:sz w:val="24"/>
          <w:szCs w:val="24"/>
        </w:rPr>
        <w:t>Slijede opisni rezultati koji su se postigli provedbom programa odnosno važnijih aktivnosti i projekata unutar navedenih programa:</w:t>
      </w:r>
    </w:p>
    <w:p w14:paraId="320BEC50" w14:textId="77777777" w:rsidR="0089593E" w:rsidRDefault="0089593E" w:rsidP="00156DE0">
      <w:pPr>
        <w:contextualSpacing/>
        <w:rPr>
          <w:sz w:val="24"/>
          <w:szCs w:val="24"/>
        </w:rPr>
      </w:pPr>
    </w:p>
    <w:p w14:paraId="3EBEB3BA" w14:textId="755AA8D5" w:rsidR="0016556C" w:rsidRPr="00AF7EE2" w:rsidRDefault="0016556C" w:rsidP="00156DE0">
      <w:pPr>
        <w:contextualSpacing/>
        <w:rPr>
          <w:sz w:val="24"/>
          <w:szCs w:val="24"/>
        </w:rPr>
      </w:pPr>
      <w:r w:rsidRPr="00AF7EE2">
        <w:rPr>
          <w:sz w:val="24"/>
          <w:szCs w:val="24"/>
        </w:rPr>
        <w:t>Digitalna pristupačnost web stranice Tiflološkog muzeja</w:t>
      </w:r>
    </w:p>
    <w:p w14:paraId="14F37D3D" w14:textId="77777777" w:rsidR="00462F28" w:rsidRPr="00462F28" w:rsidRDefault="00462F28" w:rsidP="00462F28">
      <w:pPr>
        <w:contextualSpacing/>
        <w:rPr>
          <w:sz w:val="24"/>
          <w:szCs w:val="24"/>
        </w:rPr>
      </w:pPr>
      <w:r w:rsidRPr="00462F28">
        <w:rPr>
          <w:sz w:val="24"/>
          <w:szCs w:val="24"/>
        </w:rPr>
        <w:t xml:space="preserve">Izvršena je evaluacija pristupačnosti web sjedišta, implementacija standarda pristupačnosti web sadržaja na stranici Tiflološkog muzeja u suradnji s programerima tvrtke Novena. </w:t>
      </w:r>
    </w:p>
    <w:p w14:paraId="5C183A0B" w14:textId="77777777" w:rsidR="00462F28" w:rsidRPr="00462F28" w:rsidRDefault="00462F28" w:rsidP="00462F28">
      <w:pPr>
        <w:contextualSpacing/>
        <w:rPr>
          <w:sz w:val="24"/>
          <w:szCs w:val="24"/>
        </w:rPr>
      </w:pPr>
      <w:r w:rsidRPr="00462F28">
        <w:rPr>
          <w:sz w:val="24"/>
          <w:szCs w:val="24"/>
        </w:rPr>
        <w:t>Slijepa osoba je izvršila testiranje pristupačnosti.</w:t>
      </w:r>
    </w:p>
    <w:p w14:paraId="50EDCFB6" w14:textId="1ACB6298" w:rsidR="00156DE0" w:rsidRDefault="00462F28" w:rsidP="00462F28">
      <w:pPr>
        <w:contextualSpacing/>
        <w:rPr>
          <w:sz w:val="24"/>
          <w:szCs w:val="24"/>
        </w:rPr>
      </w:pPr>
      <w:r w:rsidRPr="00462F28">
        <w:rPr>
          <w:sz w:val="24"/>
          <w:szCs w:val="24"/>
        </w:rPr>
        <w:t>Cilj je ostvaren, osigurane su dodatne prilagodbe digitalnih sadržaja za kvalitetnu digitalnu pristupačnost za osobe s invaliditetom kako bi se umanjile prepreke u interakciji ili pristupu digitalnom sadržaju</w:t>
      </w:r>
      <w:r w:rsidR="005D5705">
        <w:rPr>
          <w:sz w:val="24"/>
          <w:szCs w:val="24"/>
        </w:rPr>
        <w:t>.</w:t>
      </w:r>
    </w:p>
    <w:p w14:paraId="7B3FAF9E" w14:textId="305A503E" w:rsidR="0089593E" w:rsidRDefault="0089593E" w:rsidP="00156DE0">
      <w:pPr>
        <w:contextualSpacing/>
        <w:rPr>
          <w:sz w:val="24"/>
          <w:szCs w:val="24"/>
        </w:rPr>
      </w:pPr>
    </w:p>
    <w:p w14:paraId="13C52E25" w14:textId="77777777" w:rsidR="0089593E" w:rsidRDefault="0089593E" w:rsidP="00156DE0">
      <w:pPr>
        <w:contextualSpacing/>
        <w:rPr>
          <w:sz w:val="24"/>
          <w:szCs w:val="24"/>
        </w:rPr>
      </w:pPr>
    </w:p>
    <w:p w14:paraId="21FD61C2" w14:textId="77777777" w:rsidR="00156DE0" w:rsidRPr="00AF7EE2" w:rsidRDefault="00156DE0" w:rsidP="00156DE0">
      <w:pPr>
        <w:contextualSpacing/>
        <w:rPr>
          <w:sz w:val="24"/>
          <w:szCs w:val="24"/>
        </w:rPr>
      </w:pPr>
      <w:r w:rsidRPr="00AF7EE2">
        <w:rPr>
          <w:sz w:val="24"/>
          <w:szCs w:val="24"/>
        </w:rPr>
        <w:t xml:space="preserve">Digitalizacija uredskog poslovanja </w:t>
      </w:r>
    </w:p>
    <w:p w14:paraId="6CD7D639" w14:textId="2A96C064" w:rsidR="0016556C" w:rsidRDefault="00462F28" w:rsidP="00F24039">
      <w:pPr>
        <w:contextualSpacing/>
        <w:rPr>
          <w:sz w:val="24"/>
          <w:szCs w:val="24"/>
        </w:rPr>
      </w:pPr>
      <w:r w:rsidRPr="00462F28">
        <w:rPr>
          <w:sz w:val="24"/>
          <w:szCs w:val="24"/>
        </w:rPr>
        <w:t>Muzej  je prema novoj Uredbi o uredskom poslovanju instalirao aplikaciju za urudžbiranje koja osigurava uredsko poslovanje. Nova web aplikacija e-Castor je instalirana te je izvršena kratka obuka dvaju zaposlenika za implementiranjem iste.</w:t>
      </w:r>
    </w:p>
    <w:p w14:paraId="745F7C9D" w14:textId="77777777" w:rsidR="00462F28" w:rsidRPr="00AF7EE2" w:rsidRDefault="00462F28" w:rsidP="00F24039">
      <w:pPr>
        <w:contextualSpacing/>
        <w:rPr>
          <w:sz w:val="24"/>
          <w:szCs w:val="24"/>
        </w:rPr>
      </w:pPr>
    </w:p>
    <w:p w14:paraId="5E54BDCE" w14:textId="77777777" w:rsidR="00156DE0" w:rsidRPr="00AF7EE2" w:rsidRDefault="00156DE0" w:rsidP="00156DE0">
      <w:pPr>
        <w:contextualSpacing/>
        <w:rPr>
          <w:sz w:val="24"/>
          <w:szCs w:val="24"/>
        </w:rPr>
      </w:pPr>
      <w:r w:rsidRPr="00AF7EE2">
        <w:rPr>
          <w:sz w:val="24"/>
          <w:szCs w:val="24"/>
        </w:rPr>
        <w:t>Informatizacija-nabava informatičke opreme</w:t>
      </w:r>
    </w:p>
    <w:p w14:paraId="1C80E991" w14:textId="4E13C44C" w:rsidR="0016556C" w:rsidRDefault="00462F28" w:rsidP="00F24039">
      <w:pPr>
        <w:contextualSpacing/>
        <w:rPr>
          <w:sz w:val="24"/>
          <w:szCs w:val="24"/>
        </w:rPr>
      </w:pPr>
      <w:r w:rsidRPr="00462F28">
        <w:rPr>
          <w:sz w:val="24"/>
          <w:szCs w:val="24"/>
        </w:rPr>
        <w:t>S ciljem unapređenje poslovanja i funkcionalnosti rada proveden je program zamjene informatičke opreme kojoj je istekao tehnološki vijek trajanja. Nabavljena oprema koristi se u svakodnevnom radu za slanje e-maila, editiranje Word dokumenata i Excel tablica te novi MS Office zbog potreba licenciranja uredskog programa i mogućnosti rada na novim aplikacijama. Nabavljeno je: Mikrotik Router BORD RB5009Upr+S+IN; kom 1, Mikrotik Cloud Router Switch CRS326-24P-2S+R; kom 1, Microsoft Office Home and Business 2021 Croatian; kom 1,  Microsoft Office 2021 Professional Plus 32/64-bit ESD, kom 2, Dell Pro 16 Core 5 120U/16"FHD+/16GB/512GBSSD/Intel Graphics/FP/Win11Pro, kom1. Ovim programom ostvaren je cilj, zamjena zastarjele opreme kojoj je istekao tehnološki vijek trajanja te je omogućen nesmetan svakodnevni rad glavnog servera. Suvremenija oprema je omogućila rad sa novim aplikacijama.</w:t>
      </w:r>
    </w:p>
    <w:p w14:paraId="675E7258" w14:textId="77777777" w:rsidR="00462F28" w:rsidRPr="00AF7EE2" w:rsidRDefault="00462F28" w:rsidP="00F24039">
      <w:pPr>
        <w:contextualSpacing/>
        <w:rPr>
          <w:sz w:val="24"/>
          <w:szCs w:val="24"/>
        </w:rPr>
      </w:pPr>
    </w:p>
    <w:p w14:paraId="79D391ED" w14:textId="6AA66F2A" w:rsidR="0016556C" w:rsidRPr="00AF7EE2" w:rsidRDefault="00156DE0" w:rsidP="00F24039">
      <w:pPr>
        <w:contextualSpacing/>
        <w:rPr>
          <w:sz w:val="24"/>
          <w:szCs w:val="24"/>
        </w:rPr>
      </w:pPr>
      <w:r w:rsidRPr="00AF7EE2">
        <w:rPr>
          <w:sz w:val="24"/>
          <w:szCs w:val="24"/>
        </w:rPr>
        <w:t>Investicije</w:t>
      </w:r>
    </w:p>
    <w:p w14:paraId="1D8CD931" w14:textId="77777777" w:rsidR="00462F28" w:rsidRPr="00462F28" w:rsidRDefault="00462F28" w:rsidP="00462F28">
      <w:pPr>
        <w:contextualSpacing/>
        <w:rPr>
          <w:sz w:val="24"/>
          <w:szCs w:val="24"/>
        </w:rPr>
      </w:pPr>
      <w:r w:rsidRPr="00462F28">
        <w:rPr>
          <w:sz w:val="24"/>
          <w:szCs w:val="24"/>
        </w:rPr>
        <w:t>1. Zamjena neispravne opreme sustava videonadzora - Postojeća oprema sustava video nadzora nabavljena je 2008. godine. Zbog dotrajalosti i neispravnosti kamera u izložbenom prostoru bila je potreba njihove zamjene, što je i izvršeno. Nabavljene su nove kamere (Hikvision KAMERA DS-2CE57H8T-VPITF(2.8mm), izvršena je njihova montaža, programiranje i podešavanje sustava videonadzora.</w:t>
      </w:r>
    </w:p>
    <w:p w14:paraId="3F74DCFB" w14:textId="77777777" w:rsidR="00462F28" w:rsidRPr="00462F28" w:rsidRDefault="00462F28" w:rsidP="00462F28">
      <w:pPr>
        <w:contextualSpacing/>
        <w:rPr>
          <w:sz w:val="24"/>
          <w:szCs w:val="24"/>
        </w:rPr>
      </w:pPr>
      <w:r w:rsidRPr="00462F28">
        <w:rPr>
          <w:sz w:val="24"/>
          <w:szCs w:val="24"/>
        </w:rPr>
        <w:t>2. Zamjena sustava protuprovale - Zbog zastarjelosti, učestalih kvarova i troškova održavanja zamijenjen je stari sustav  protuprovale  novim, koji udovoljava suvremenim standardima zaštite te je pušten u rad. Ovim programima ostvarit će se najvažniji cilj, povećanje sigurnosti i zaštite izložbenog i ostalog prostora muzeja  kao i sigurnost posjetitelja.</w:t>
      </w:r>
    </w:p>
    <w:p w14:paraId="4D2A6572" w14:textId="360BDC6F" w:rsidR="00156DE0" w:rsidRDefault="00462F28" w:rsidP="00462F28">
      <w:pPr>
        <w:contextualSpacing/>
        <w:rPr>
          <w:sz w:val="24"/>
          <w:szCs w:val="24"/>
        </w:rPr>
      </w:pPr>
      <w:r w:rsidRPr="00462F28">
        <w:rPr>
          <w:sz w:val="24"/>
          <w:szCs w:val="24"/>
        </w:rPr>
        <w:t>3. Nabava uredske stolice - nabavljena je uredska stolica.</w:t>
      </w:r>
    </w:p>
    <w:p w14:paraId="00144C12" w14:textId="77777777" w:rsidR="00462F28" w:rsidRPr="00AF7EE2" w:rsidRDefault="00462F28" w:rsidP="00462F28">
      <w:pPr>
        <w:contextualSpacing/>
        <w:rPr>
          <w:sz w:val="24"/>
          <w:szCs w:val="24"/>
        </w:rPr>
      </w:pPr>
    </w:p>
    <w:p w14:paraId="7A81E36C" w14:textId="77777777" w:rsidR="00156DE0" w:rsidRPr="00AF7EE2" w:rsidRDefault="00156DE0" w:rsidP="00156DE0">
      <w:pPr>
        <w:contextualSpacing/>
        <w:rPr>
          <w:sz w:val="24"/>
          <w:szCs w:val="24"/>
        </w:rPr>
      </w:pPr>
      <w:r w:rsidRPr="00AF7EE2">
        <w:rPr>
          <w:sz w:val="24"/>
          <w:szCs w:val="24"/>
        </w:rPr>
        <w:t>Izložba Donacija dr. Zvonimir Pavišić</w:t>
      </w:r>
    </w:p>
    <w:p w14:paraId="0459E9BD" w14:textId="70002B74" w:rsidR="002D3959" w:rsidRPr="002D3959" w:rsidRDefault="002D3959" w:rsidP="002D3959">
      <w:pPr>
        <w:rPr>
          <w:sz w:val="24"/>
          <w:szCs w:val="24"/>
        </w:rPr>
      </w:pPr>
      <w:r w:rsidRPr="002D3959">
        <w:rPr>
          <w:sz w:val="24"/>
          <w:szCs w:val="24"/>
        </w:rPr>
        <w:t xml:space="preserve">Izložba „Svjetiljka je tvome tijelu oko“ - dr. Zvonimir Pavišić, liječnik i humanist, otvorena 11.12.2025. g. u Tiflološkom muzeju posvećena je profesionalnom putu oftalmologa, profesora i akademika, doktora Zvonimira Pavišića, njegovom nastavnom i znanstvenom radu, kao i medicinskim uspjesima, nagradama i priznanjima za liječnički rad. Većina izložene građe dio je njegove ostavštine koja se čuva u Tiflološkom muzeju, a dijelom fundusa postala je zahvaljujući darovanju njegove kćeri, dr. sc. Dubravke Pavišić-Strache. Neki od izloženih dijagnostičkih uređaja i medicinskih instrumenta zahtijevali su restauratorske zahvate pa su nakon višegodišnjeg konzervatorsko–restauratorskog projekta ovi vrijedni predmeti postali dostupni javnosti. Pripremni radovi za izložbu uključivali su izradu scenarija izložbe, pisanje tekstova za postav izložbe i za katalog. Izvršena je lektura svih tekstova za postav i za katalog. Dizajnerica je odradila likovno oblikovanje vizuala izložbe, postava i kataloga. Također su likovno oblikovani pozivnica i plakat izložbe. Svi materijali za postav izložbe su tiskani i </w:t>
      </w:r>
      <w:r w:rsidRPr="002D3959">
        <w:rPr>
          <w:sz w:val="24"/>
          <w:szCs w:val="24"/>
        </w:rPr>
        <w:lastRenderedPageBreak/>
        <w:t xml:space="preserve">postavljeni. Za potrebe izložbe također su tiskani plakati i katalozi izložbe. Na izložbi je prezentirano 90 izložaka. Izložba je namijenjena širokoj muzejskoj publici. Izložba </w:t>
      </w:r>
      <w:r w:rsidR="00D20F3F">
        <w:rPr>
          <w:sz w:val="24"/>
          <w:szCs w:val="24"/>
        </w:rPr>
        <w:t>je bila</w:t>
      </w:r>
      <w:r w:rsidRPr="002D3959">
        <w:rPr>
          <w:sz w:val="24"/>
          <w:szCs w:val="24"/>
        </w:rPr>
        <w:t xml:space="preserve"> otvorena do 16.3.2026. g. </w:t>
      </w:r>
    </w:p>
    <w:p w14:paraId="3D376882" w14:textId="77777777" w:rsidR="0089593E" w:rsidRPr="00AF7EE2" w:rsidRDefault="0089593E" w:rsidP="00F24039">
      <w:pPr>
        <w:contextualSpacing/>
        <w:rPr>
          <w:sz w:val="24"/>
          <w:szCs w:val="24"/>
        </w:rPr>
      </w:pPr>
    </w:p>
    <w:p w14:paraId="6CDB7094" w14:textId="26F0DC64" w:rsidR="00156DE0" w:rsidRPr="00AF7EE2" w:rsidRDefault="00156DE0" w:rsidP="00156DE0">
      <w:pPr>
        <w:contextualSpacing/>
        <w:rPr>
          <w:sz w:val="24"/>
          <w:szCs w:val="24"/>
        </w:rPr>
      </w:pPr>
      <w:r w:rsidRPr="00AF7EE2">
        <w:rPr>
          <w:sz w:val="24"/>
          <w:szCs w:val="24"/>
        </w:rPr>
        <w:t>Izložba Velika djela iz kolekcije Pavla Beljanskog</w:t>
      </w:r>
    </w:p>
    <w:p w14:paraId="1FC68924" w14:textId="77777777" w:rsidR="002D3959" w:rsidRPr="002D3959" w:rsidRDefault="002D3959" w:rsidP="002D3959">
      <w:pPr>
        <w:contextualSpacing/>
        <w:rPr>
          <w:sz w:val="24"/>
          <w:szCs w:val="24"/>
        </w:rPr>
      </w:pPr>
      <w:r w:rsidRPr="002D3959">
        <w:rPr>
          <w:sz w:val="24"/>
          <w:szCs w:val="24"/>
        </w:rPr>
        <w:t>Izložba „Dodirni i osjeti“omogućila je da osjetitelji sa stečenim ili urođenim invaliditetom (slijepi i slabovidni), dobiju uvid u dio kolekcije Spomen-zbirke Pavla Beljanskog.</w:t>
      </w:r>
    </w:p>
    <w:p w14:paraId="7FCEB8BC" w14:textId="4907B5E8" w:rsidR="00461311" w:rsidRDefault="002D3959" w:rsidP="002D3959">
      <w:pPr>
        <w:contextualSpacing/>
        <w:rPr>
          <w:sz w:val="24"/>
          <w:szCs w:val="24"/>
        </w:rPr>
      </w:pPr>
      <w:r w:rsidRPr="002D3959">
        <w:rPr>
          <w:sz w:val="24"/>
          <w:szCs w:val="24"/>
        </w:rPr>
        <w:t xml:space="preserve">Izloženo je deset predmeta – replika i interpretacija predmeta koji vjerno prikazuju odabrane originale – osam djela umjetnika zastupljenih u kolekciji Pavla Beljanskog. Odabrana umjetnička djela predstavljena su putem grafičkih dijagrama koji prenose sve detalje i njihovu raznoliku teksturu, zatim gipsanih kopija u proporcijama originala, kao i dva 3D modela izrađena od prirodnih materijala. Izložbu </w:t>
      </w:r>
      <w:r w:rsidR="00D20F3F">
        <w:rPr>
          <w:sz w:val="24"/>
          <w:szCs w:val="24"/>
        </w:rPr>
        <w:t xml:space="preserve">je pratila </w:t>
      </w:r>
      <w:r w:rsidRPr="002D3959">
        <w:rPr>
          <w:sz w:val="24"/>
          <w:szCs w:val="24"/>
        </w:rPr>
        <w:t>prat</w:t>
      </w:r>
      <w:r w:rsidR="00D20F3F">
        <w:rPr>
          <w:sz w:val="24"/>
          <w:szCs w:val="24"/>
        </w:rPr>
        <w:t>ila</w:t>
      </w:r>
      <w:r w:rsidRPr="002D3959">
        <w:rPr>
          <w:sz w:val="24"/>
          <w:szCs w:val="24"/>
        </w:rPr>
        <w:t xml:space="preserve"> audio-deskripcija, opisi na Brailleovom pismu i legende posebno prilagođene slabovidnim osobama. Trajanje izložbe: 29.4 – 25.5.2025. Opseg: 10 taktilnih radova.</w:t>
      </w:r>
    </w:p>
    <w:p w14:paraId="72825623" w14:textId="77777777" w:rsidR="002D3959" w:rsidRPr="00AF7EE2" w:rsidRDefault="002D3959" w:rsidP="002D3959">
      <w:pPr>
        <w:contextualSpacing/>
        <w:rPr>
          <w:sz w:val="24"/>
          <w:szCs w:val="24"/>
        </w:rPr>
      </w:pPr>
    </w:p>
    <w:p w14:paraId="3E449E5A" w14:textId="7B5E9987" w:rsidR="00156DE0" w:rsidRDefault="00156DE0" w:rsidP="00156DE0">
      <w:pPr>
        <w:contextualSpacing/>
        <w:rPr>
          <w:sz w:val="24"/>
          <w:szCs w:val="24"/>
        </w:rPr>
      </w:pPr>
      <w:r w:rsidRPr="00AF7EE2">
        <w:rPr>
          <w:sz w:val="24"/>
          <w:szCs w:val="24"/>
        </w:rPr>
        <w:t>Izmjene u stalnom postavu</w:t>
      </w:r>
    </w:p>
    <w:p w14:paraId="2E76647A" w14:textId="77777777" w:rsidR="002D3959" w:rsidRPr="002D3959" w:rsidRDefault="002D3959" w:rsidP="002D3959">
      <w:pPr>
        <w:contextualSpacing/>
        <w:rPr>
          <w:sz w:val="24"/>
          <w:szCs w:val="24"/>
        </w:rPr>
      </w:pPr>
      <w:r w:rsidRPr="002D3959">
        <w:rPr>
          <w:sz w:val="24"/>
          <w:szCs w:val="24"/>
        </w:rPr>
        <w:t xml:space="preserve">Izvršene su izmjene u stalnom postavu TM: </w:t>
      </w:r>
    </w:p>
    <w:p w14:paraId="0EF96D65" w14:textId="77777777" w:rsidR="002D3959" w:rsidRPr="002D3959" w:rsidRDefault="002D3959" w:rsidP="002D3959">
      <w:pPr>
        <w:contextualSpacing/>
        <w:rPr>
          <w:sz w:val="24"/>
          <w:szCs w:val="24"/>
        </w:rPr>
      </w:pPr>
      <w:r w:rsidRPr="002D3959">
        <w:rPr>
          <w:sz w:val="24"/>
          <w:szCs w:val="24"/>
        </w:rPr>
        <w:t xml:space="preserve">Tamna soba: promijenjen je zvučni dio na prozoru te je dodana komponenta povjetarca prilikom otvaranja prozora, ugrađena je toplohladna ploča na kraju ulaznog hodnika u Tamnu sobu. Ovim izmjenama prethodila je obnova i dogradnja strujne instalacije kako bi se osigurala sigurnost  posjetitelja. Nadalje nadograđeni su taktilni zidovi i pod u hodniku Tamne sobe. Ovim izmjenama u potpunosti je postignut cilj programa - posjetiteljima još više i neposrednije dočarati stanje nevida te ga na taj način i senzibilizirati prema osobama s invaliditetom, ponajprije slijepim i slabovidnim. S obzirom na dodane sadržaje promijenjene su (grafička priprema i tisak) dvije ploče, odnosno uvodna legenda i uputa za kretanje. </w:t>
      </w:r>
    </w:p>
    <w:p w14:paraId="3948F3D3" w14:textId="535732DB" w:rsidR="0016556C" w:rsidRDefault="002D3959" w:rsidP="002D3959">
      <w:pPr>
        <w:contextualSpacing/>
        <w:rPr>
          <w:sz w:val="24"/>
          <w:szCs w:val="24"/>
        </w:rPr>
      </w:pPr>
      <w:r w:rsidRPr="002D3959">
        <w:rPr>
          <w:sz w:val="24"/>
          <w:szCs w:val="24"/>
        </w:rPr>
        <w:t>Komunikacijska ploča: izrađena je ploča koja neverbalnim osobama omogućuje komunikaciju uz korištenje 56 simbola iz nekomercijalne galerije ARASAAC (autor Sergio Palao, licenca CC BY-NC-SA 4.0), a dizajnirana je tako da bude jednostavna za upotrebu. Dimenzije  ploče su 550 x 550 mm,  postavljena je na lako uočljivo mjesto, u unutarnjem ulaznom prostoru muzeja, s desne strane odmah uz vrata. Ovime je ostvaren cilj, omogućiti neurodivergentnim osobama komunikaciju o muzejskom sadržaju i osiguravanje mogućnosti izražavanja doživljaja i potreba neverbalnim osobama. </w:t>
      </w:r>
    </w:p>
    <w:p w14:paraId="5346EAAD" w14:textId="77777777" w:rsidR="002D3959" w:rsidRPr="00AF7EE2" w:rsidRDefault="002D3959" w:rsidP="002D3959">
      <w:pPr>
        <w:contextualSpacing/>
        <w:rPr>
          <w:sz w:val="24"/>
          <w:szCs w:val="24"/>
        </w:rPr>
      </w:pPr>
    </w:p>
    <w:p w14:paraId="7F87A6BD" w14:textId="47EB6CDF" w:rsidR="00156DE0" w:rsidRPr="00AF7EE2" w:rsidRDefault="00156DE0" w:rsidP="00156DE0">
      <w:pPr>
        <w:contextualSpacing/>
        <w:rPr>
          <w:sz w:val="24"/>
          <w:szCs w:val="24"/>
        </w:rPr>
      </w:pPr>
      <w:r w:rsidRPr="00AF7EE2">
        <w:rPr>
          <w:sz w:val="24"/>
          <w:szCs w:val="24"/>
        </w:rPr>
        <w:t>Pedagoški programi</w:t>
      </w:r>
    </w:p>
    <w:p w14:paraId="57A52CDE" w14:textId="42E2B84B" w:rsidR="00156DE0" w:rsidRDefault="002D3959" w:rsidP="00F24039">
      <w:pPr>
        <w:contextualSpacing/>
        <w:rPr>
          <w:sz w:val="24"/>
          <w:szCs w:val="24"/>
        </w:rPr>
      </w:pPr>
      <w:r w:rsidRPr="002D3959">
        <w:rPr>
          <w:sz w:val="24"/>
          <w:szCs w:val="24"/>
        </w:rPr>
        <w:t xml:space="preserve">U sklopu obilježavanja Tjedna mladih i Tjedna znanosti 2025. godine osmišljen je, koordiniran i proveden edukativni programski ciklus radionica s naglaskom na prevenciju nasilja među mladima, poticanje socio-emocionalnih kompetencija te razvoj senzibiliteta za umjetnost kroz taktilno iskustvo. Program je uključivao aktivnosti namijenjene djeci, mladima i odraslim korisnicima s teškoćama u razvoju. Radionice su održane u travnju i svibnju 2025. godine u prostoru Tiflološkog muzeja. Provedena su tri međusobno povezane radionice:– radionica usmjerena na osvještavanje i razvoj nenasilnih oblika komunikacije, empatije i prosocijalnog ponašanja među mladima, Upoznaj me – radionica koja potiče razumijevanje različitosti, uvažavanje individualnih potreba te izgradnju sigurnog i </w:t>
      </w:r>
      <w:r w:rsidRPr="002D3959">
        <w:rPr>
          <w:sz w:val="24"/>
          <w:szCs w:val="24"/>
        </w:rPr>
        <w:lastRenderedPageBreak/>
        <w:t>podržavajućeg okruženja i radionica Upoznaj umjetnost (u sklopu izložbe Dodirni i osjeti) – kreativna radionica s ciljem približavanja likovne umjetnosti kroz taktilne elemente i interaktivno iskustvo. Radionice su bile namijenjene: učenicima osnovnih i srednjih škola i korisnicima Odjela za psihosocijalnu rehabilitaciju odraslih osoba Centra za odgoj i obrazovanje Vinko Bek. Sudionici su aktivno sudjelovali u svim aktivnostima, a radionice su doprinijele podizanju svijesti o važnosti prevencije nasilja, razvoju međusobnog razumijevanja te poticanju kreativnog i senzornog doživljaja umjetnosti.</w:t>
      </w:r>
    </w:p>
    <w:p w14:paraId="0EC4EDAA" w14:textId="77777777" w:rsidR="002D3959" w:rsidRPr="00AF7EE2" w:rsidRDefault="002D3959" w:rsidP="00F24039">
      <w:pPr>
        <w:contextualSpacing/>
        <w:rPr>
          <w:sz w:val="24"/>
          <w:szCs w:val="24"/>
        </w:rPr>
      </w:pPr>
    </w:p>
    <w:p w14:paraId="28019EED" w14:textId="19638637" w:rsidR="00156DE0" w:rsidRDefault="00156DE0" w:rsidP="00156DE0">
      <w:pPr>
        <w:contextualSpacing/>
        <w:rPr>
          <w:sz w:val="24"/>
          <w:szCs w:val="24"/>
        </w:rPr>
      </w:pPr>
      <w:r w:rsidRPr="00AF7EE2">
        <w:rPr>
          <w:sz w:val="24"/>
          <w:szCs w:val="24"/>
        </w:rPr>
        <w:t>Slijepi vodič kroz stalni postav Tiflološkog muzeja</w:t>
      </w:r>
    </w:p>
    <w:p w14:paraId="1A209C77" w14:textId="1BB061E6" w:rsidR="00AF7EE2" w:rsidRPr="00AF7EE2" w:rsidRDefault="002D3959" w:rsidP="00156DE0">
      <w:pPr>
        <w:rPr>
          <w:sz w:val="24"/>
          <w:szCs w:val="24"/>
        </w:rPr>
      </w:pPr>
      <w:r w:rsidRPr="002D3959">
        <w:rPr>
          <w:sz w:val="24"/>
          <w:szCs w:val="24"/>
        </w:rPr>
        <w:t>Tijekom godine provodio se pilot projekt ostvaren u suradnji sa slijepom osobom, vanjskim suradnikom. Nakon osmišljavanja scenarija projekta izrađena su muzeografska pomagala, lutke koje prikazuju dvoje djece, pitomce Zemaljskog zavoda za odgoj slijepe djece s kraja 19. stoljeća te je nabavljen je graničnik koji usmjerava kretanje slijepog vodiča. Izvršena je obuka slijepog vodiča te su održavana grupna vodstva po stalnom postavu TM za zainteresirane posjetitelje.  Time su ostvareni ciljevi projekta: vođenje videćih posjetitelja pod povezom u razgled postava u malim grupama te inkluzivni pristup, uključivanje slijepih osoba u programe TM.</w:t>
      </w:r>
    </w:p>
    <w:p w14:paraId="4767F1EF" w14:textId="79B93F61" w:rsidR="00156DE0" w:rsidRPr="00AF7EE2" w:rsidRDefault="00156DE0" w:rsidP="00F24039">
      <w:pPr>
        <w:contextualSpacing/>
        <w:rPr>
          <w:sz w:val="24"/>
          <w:szCs w:val="24"/>
        </w:rPr>
      </w:pPr>
    </w:p>
    <w:p w14:paraId="5E845E29" w14:textId="1F8AEC72" w:rsidR="00156DE0" w:rsidRPr="00AF7EE2" w:rsidRDefault="00156DE0" w:rsidP="00156DE0">
      <w:pPr>
        <w:contextualSpacing/>
        <w:rPr>
          <w:sz w:val="24"/>
          <w:szCs w:val="24"/>
        </w:rPr>
      </w:pPr>
      <w:r w:rsidRPr="00AF7EE2">
        <w:rPr>
          <w:sz w:val="24"/>
          <w:szCs w:val="24"/>
        </w:rPr>
        <w:t>Nabava beskiselinskih i arhivskih kutija</w:t>
      </w:r>
    </w:p>
    <w:p w14:paraId="32386D6B" w14:textId="0992E1C5" w:rsidR="00156DE0" w:rsidRPr="00AF7EE2" w:rsidRDefault="002D3959" w:rsidP="00156DE0">
      <w:pPr>
        <w:rPr>
          <w:sz w:val="24"/>
          <w:szCs w:val="24"/>
        </w:rPr>
      </w:pPr>
      <w:r w:rsidRPr="002D3959">
        <w:rPr>
          <w:sz w:val="24"/>
          <w:szCs w:val="24"/>
        </w:rPr>
        <w:t>Program nabave beskiselinskih arhivskih kutija je izvršen u cilju preventivne zaštite eksponata.</w:t>
      </w:r>
    </w:p>
    <w:p w14:paraId="198AF023" w14:textId="02ECAD78" w:rsidR="00156DE0" w:rsidRDefault="00156DE0" w:rsidP="00156DE0">
      <w:pPr>
        <w:contextualSpacing/>
        <w:rPr>
          <w:sz w:val="24"/>
          <w:szCs w:val="24"/>
        </w:rPr>
      </w:pPr>
      <w:r w:rsidRPr="00AF7EE2">
        <w:rPr>
          <w:sz w:val="24"/>
          <w:szCs w:val="24"/>
        </w:rPr>
        <w:t>Izdavanje priručnika Pristupačnost za sve -II</w:t>
      </w:r>
    </w:p>
    <w:p w14:paraId="56ECBFC7" w14:textId="688B081D" w:rsidR="002B1B21" w:rsidRDefault="002D3959" w:rsidP="00156DE0">
      <w:pPr>
        <w:contextualSpacing/>
        <w:rPr>
          <w:sz w:val="24"/>
          <w:szCs w:val="24"/>
        </w:rPr>
      </w:pPr>
      <w:r w:rsidRPr="002D3959">
        <w:rPr>
          <w:sz w:val="24"/>
          <w:szCs w:val="24"/>
        </w:rPr>
        <w:t>Izdan je priručnik Pristupačnost za sve 2 koji je nadopuna edukacijama koje provede stručni djelatnici TM za kolege iz baštinskih ustanova. Ideja edukacije i priručnika je educirati što veći broj kolega o važnim temama iz područja pristupačnosti i prilagodbe muzeja osobama s invaliditetom. Priručnik je  strukturiran u pet tematskih cjelina. Svi prilozi pokazuju teškoće s kojima se određena skupina osoba s invaliditetom susreće, ali i pozitivne primjere inkluzije kao rezultat dugogodišnjeg zalaganja i rada. Prilozi su raspoređeni po odjeljcima: 1. Važnost sudjelovanje osoba s invaliditetom u kulturi, 2. Voliš ići u muzej?—pristupačnost i simbolizacija muzejskih prostora kao podrška posjetiteljima u spektru autizma, 3. Digitalna pristupačnost, 4. Kako pružiti potporu osobi s oštećenjem sluha?, 5. Europski standardi za izradu lako razumljivih informacija za osobe s intelektualnim teškoćama, 6. O autorima, 7. Literatura. Ovim priručnikom ostvareni su je ciljevi: omogućavanje stručnoj zajednici kontinuirano stručno usavršavanje na području pristupačnosti te nastavak njegovanja inkluzivne kulturne prakse, koja ne podrazumijeva izradu prilagodbi „za nekoga“, već izradu „zajedno s onima” kojima su namijenjene. Priručnik, dimenzija 23,5 x 16,5 cm, opsega 108 stranica, izdan je u nakladi od 300 primjeraka pod ISBN 978-953-7287-58-0, a CIP zapis dostupan je u računalnome katalogu Nacionalne i sveučilišne knjižnice u Zagrebu pod brojem 001266772.</w:t>
      </w:r>
    </w:p>
    <w:p w14:paraId="38C321DE" w14:textId="207F5C9C" w:rsidR="002D3959" w:rsidRDefault="002D3959" w:rsidP="00156DE0">
      <w:pPr>
        <w:contextualSpacing/>
        <w:rPr>
          <w:sz w:val="24"/>
          <w:szCs w:val="24"/>
        </w:rPr>
      </w:pPr>
    </w:p>
    <w:p w14:paraId="51109ABF" w14:textId="050D7592" w:rsidR="002D3959" w:rsidRDefault="002D3959" w:rsidP="00156DE0">
      <w:pPr>
        <w:contextualSpacing/>
        <w:rPr>
          <w:sz w:val="24"/>
          <w:szCs w:val="24"/>
        </w:rPr>
      </w:pPr>
    </w:p>
    <w:p w14:paraId="70640FE4" w14:textId="49C2A453" w:rsidR="002D3959" w:rsidRDefault="002D3959" w:rsidP="00156DE0">
      <w:pPr>
        <w:contextualSpacing/>
        <w:rPr>
          <w:sz w:val="24"/>
          <w:szCs w:val="24"/>
        </w:rPr>
      </w:pPr>
    </w:p>
    <w:p w14:paraId="4B26DFCA" w14:textId="77777777" w:rsidR="002D3959" w:rsidRDefault="002D3959" w:rsidP="00156DE0">
      <w:pPr>
        <w:contextualSpacing/>
        <w:rPr>
          <w:sz w:val="24"/>
          <w:szCs w:val="24"/>
        </w:rPr>
      </w:pPr>
    </w:p>
    <w:p w14:paraId="28B39E62" w14:textId="7CD01CC6" w:rsidR="00156DE0" w:rsidRPr="00AF7EE2" w:rsidRDefault="00156DE0" w:rsidP="00156DE0">
      <w:pPr>
        <w:contextualSpacing/>
        <w:rPr>
          <w:sz w:val="24"/>
          <w:szCs w:val="24"/>
        </w:rPr>
      </w:pPr>
      <w:r w:rsidRPr="00AF7EE2">
        <w:rPr>
          <w:sz w:val="24"/>
          <w:szCs w:val="24"/>
        </w:rPr>
        <w:lastRenderedPageBreak/>
        <w:t>Restauracija Oftalmološke zbirke</w:t>
      </w:r>
    </w:p>
    <w:p w14:paraId="4E8E64EF" w14:textId="77777777" w:rsidR="002D3959" w:rsidRPr="002D3959" w:rsidRDefault="002D3959" w:rsidP="002D3959">
      <w:pPr>
        <w:contextualSpacing/>
        <w:rPr>
          <w:sz w:val="24"/>
          <w:szCs w:val="24"/>
        </w:rPr>
      </w:pPr>
      <w:r w:rsidRPr="002D3959">
        <w:rPr>
          <w:sz w:val="24"/>
          <w:szCs w:val="24"/>
        </w:rPr>
        <w:t>Izvršeni su konzervatorsko-restauratorski radovi na tri predmeta od strane obrta za restauraciju, popravak i održavanje predmeta od metala Ferrum. Obrađeni predmeti nalaze se u Oftalmološkoj zbirci.</w:t>
      </w:r>
    </w:p>
    <w:p w14:paraId="4BEB7951" w14:textId="47C30ABA" w:rsidR="00DD1569" w:rsidRPr="00AF7EE2" w:rsidRDefault="002D3959" w:rsidP="002D3959">
      <w:pPr>
        <w:contextualSpacing/>
        <w:rPr>
          <w:sz w:val="24"/>
          <w:szCs w:val="24"/>
        </w:rPr>
      </w:pPr>
      <w:r w:rsidRPr="002D3959">
        <w:rPr>
          <w:sz w:val="24"/>
          <w:szCs w:val="24"/>
        </w:rPr>
        <w:t>Konzervatorsko-restauratorskim radovima na predmetima ostvaren je cilj obnove i zaštite predmeta od daljeg propadanja.</w:t>
      </w:r>
    </w:p>
    <w:p w14:paraId="5AD4C314" w14:textId="2EBBCE93" w:rsidR="00F078CE" w:rsidRPr="00AF7EE2" w:rsidRDefault="00F078CE" w:rsidP="00F078CE">
      <w:pPr>
        <w:contextualSpacing/>
        <w:rPr>
          <w:sz w:val="24"/>
          <w:szCs w:val="24"/>
        </w:rPr>
      </w:pPr>
    </w:p>
    <w:p w14:paraId="6F1D6619" w14:textId="49AE572E" w:rsidR="00F078CE" w:rsidRDefault="00F078CE" w:rsidP="00F24039">
      <w:pPr>
        <w:contextualSpacing/>
        <w:rPr>
          <w:sz w:val="24"/>
          <w:szCs w:val="24"/>
        </w:rPr>
      </w:pPr>
    </w:p>
    <w:p w14:paraId="40535EA5" w14:textId="16C6CDC4" w:rsidR="002B1B21" w:rsidRDefault="002B1B21" w:rsidP="00F24039">
      <w:pPr>
        <w:contextualSpacing/>
        <w:rPr>
          <w:sz w:val="24"/>
          <w:szCs w:val="24"/>
        </w:rPr>
      </w:pPr>
      <w:r>
        <w:rPr>
          <w:sz w:val="24"/>
          <w:szCs w:val="24"/>
        </w:rPr>
        <w:t>Aktivnost A780002 Administracija i upravljanje – ostali izvori</w:t>
      </w:r>
    </w:p>
    <w:p w14:paraId="795729B6" w14:textId="1FE81BBD" w:rsidR="002B1B21" w:rsidRDefault="002B1B21" w:rsidP="00F24039">
      <w:pPr>
        <w:contextualSpacing/>
        <w:rPr>
          <w:sz w:val="24"/>
          <w:szCs w:val="24"/>
        </w:rPr>
      </w:pPr>
    </w:p>
    <w:p w14:paraId="267CD570" w14:textId="328EA317" w:rsidR="002B1B21" w:rsidRDefault="002B1B21" w:rsidP="00F24039">
      <w:pPr>
        <w:contextualSpacing/>
        <w:rPr>
          <w:sz w:val="24"/>
          <w:szCs w:val="24"/>
        </w:rPr>
      </w:pPr>
      <w:r>
        <w:rPr>
          <w:sz w:val="24"/>
          <w:szCs w:val="24"/>
        </w:rPr>
        <w:t xml:space="preserve">Na ovoj aktivnosti planirani rashodi iznose </w:t>
      </w:r>
      <w:r w:rsidR="001D488C">
        <w:rPr>
          <w:sz w:val="24"/>
          <w:szCs w:val="24"/>
        </w:rPr>
        <w:t>10</w:t>
      </w:r>
      <w:r w:rsidR="00A6494B">
        <w:rPr>
          <w:sz w:val="24"/>
          <w:szCs w:val="24"/>
        </w:rPr>
        <w:t>.</w:t>
      </w:r>
      <w:r w:rsidR="001D488C">
        <w:rPr>
          <w:sz w:val="24"/>
          <w:szCs w:val="24"/>
        </w:rPr>
        <w:t>063</w:t>
      </w:r>
      <w:r w:rsidR="00A6494B">
        <w:rPr>
          <w:sz w:val="24"/>
          <w:szCs w:val="24"/>
        </w:rPr>
        <w:t>,</w:t>
      </w:r>
      <w:r w:rsidR="001D488C">
        <w:rPr>
          <w:sz w:val="24"/>
          <w:szCs w:val="24"/>
        </w:rPr>
        <w:t>37</w:t>
      </w:r>
      <w:r w:rsidR="00A6494B">
        <w:rPr>
          <w:sz w:val="24"/>
          <w:szCs w:val="24"/>
        </w:rPr>
        <w:t xml:space="preserve"> EUR, a izvršeno je </w:t>
      </w:r>
      <w:r w:rsidR="001D488C">
        <w:rPr>
          <w:sz w:val="24"/>
          <w:szCs w:val="24"/>
        </w:rPr>
        <w:t>9</w:t>
      </w:r>
      <w:r w:rsidR="00A6494B">
        <w:rPr>
          <w:sz w:val="24"/>
          <w:szCs w:val="24"/>
        </w:rPr>
        <w:t>.</w:t>
      </w:r>
      <w:r w:rsidR="001D488C">
        <w:rPr>
          <w:sz w:val="24"/>
          <w:szCs w:val="24"/>
        </w:rPr>
        <w:t>666</w:t>
      </w:r>
      <w:r w:rsidR="00A6494B">
        <w:rPr>
          <w:sz w:val="24"/>
          <w:szCs w:val="24"/>
        </w:rPr>
        <w:t>,</w:t>
      </w:r>
      <w:r w:rsidR="001D488C">
        <w:rPr>
          <w:sz w:val="24"/>
          <w:szCs w:val="24"/>
        </w:rPr>
        <w:t>68</w:t>
      </w:r>
      <w:r w:rsidR="00A6494B">
        <w:rPr>
          <w:sz w:val="24"/>
          <w:szCs w:val="24"/>
        </w:rPr>
        <w:t xml:space="preserve"> EUR što iznosi 9</w:t>
      </w:r>
      <w:r w:rsidR="001D488C">
        <w:rPr>
          <w:sz w:val="24"/>
          <w:szCs w:val="24"/>
        </w:rPr>
        <w:t>6</w:t>
      </w:r>
      <w:r w:rsidR="00A6494B">
        <w:rPr>
          <w:sz w:val="24"/>
          <w:szCs w:val="24"/>
        </w:rPr>
        <w:t>,</w:t>
      </w:r>
      <w:r w:rsidR="001D488C">
        <w:rPr>
          <w:sz w:val="24"/>
          <w:szCs w:val="24"/>
        </w:rPr>
        <w:t>06</w:t>
      </w:r>
      <w:r w:rsidR="00A6494B">
        <w:rPr>
          <w:sz w:val="24"/>
          <w:szCs w:val="24"/>
        </w:rPr>
        <w:t>% izvršenja godišnjeg plana.</w:t>
      </w:r>
    </w:p>
    <w:p w14:paraId="1A61D03A" w14:textId="1550DD24" w:rsidR="00A6494B" w:rsidRPr="00AF7EE2" w:rsidRDefault="00A6494B" w:rsidP="00F24039">
      <w:pPr>
        <w:contextualSpacing/>
        <w:rPr>
          <w:sz w:val="24"/>
          <w:szCs w:val="24"/>
        </w:rPr>
      </w:pPr>
      <w:r>
        <w:rPr>
          <w:sz w:val="24"/>
          <w:szCs w:val="24"/>
        </w:rPr>
        <w:t>Aktivnost je financirana iz vlastitih prihoda (izvor 31) i ostalih prihoda (izvor 43)</w:t>
      </w:r>
    </w:p>
    <w:p w14:paraId="775D8D1C" w14:textId="5AFB6B26" w:rsidR="00F078CE" w:rsidRPr="00AF7EE2" w:rsidRDefault="00F078CE" w:rsidP="00F24039">
      <w:pPr>
        <w:contextualSpacing/>
        <w:rPr>
          <w:sz w:val="24"/>
          <w:szCs w:val="24"/>
        </w:rPr>
      </w:pPr>
    </w:p>
    <w:p w14:paraId="41E2DD4E" w14:textId="63AF61E1" w:rsidR="00403F93" w:rsidRPr="00AF7EE2" w:rsidRDefault="00403F93" w:rsidP="00F24039">
      <w:pPr>
        <w:contextualSpacing/>
        <w:rPr>
          <w:sz w:val="24"/>
          <w:szCs w:val="24"/>
        </w:rPr>
      </w:pPr>
      <w:r w:rsidRPr="00AF7EE2">
        <w:rPr>
          <w:sz w:val="24"/>
          <w:szCs w:val="24"/>
        </w:rPr>
        <w:t xml:space="preserve">Stanje novčanih sredstva </w:t>
      </w:r>
      <w:r w:rsidR="007C25C8" w:rsidRPr="00AF7EE2">
        <w:rPr>
          <w:sz w:val="24"/>
          <w:szCs w:val="24"/>
        </w:rPr>
        <w:t xml:space="preserve">na računima </w:t>
      </w:r>
      <w:r w:rsidRPr="00AF7EE2">
        <w:rPr>
          <w:sz w:val="24"/>
          <w:szCs w:val="24"/>
        </w:rPr>
        <w:t xml:space="preserve">na početku razdoblja iznosi </w:t>
      </w:r>
      <w:r w:rsidR="00CC3614">
        <w:rPr>
          <w:sz w:val="24"/>
          <w:szCs w:val="24"/>
        </w:rPr>
        <w:t>32</w:t>
      </w:r>
      <w:r w:rsidR="007C25C8" w:rsidRPr="00AF7EE2">
        <w:rPr>
          <w:sz w:val="24"/>
          <w:szCs w:val="24"/>
        </w:rPr>
        <w:t>.</w:t>
      </w:r>
      <w:r w:rsidR="00CC3614">
        <w:rPr>
          <w:sz w:val="24"/>
          <w:szCs w:val="24"/>
        </w:rPr>
        <w:t>207,95</w:t>
      </w:r>
      <w:r w:rsidR="007C25C8" w:rsidRPr="00AF7EE2">
        <w:rPr>
          <w:sz w:val="24"/>
          <w:szCs w:val="24"/>
        </w:rPr>
        <w:t xml:space="preserve"> EUR, a na kraju razdoblja iznosi </w:t>
      </w:r>
      <w:r w:rsidR="001D488C">
        <w:rPr>
          <w:sz w:val="24"/>
          <w:szCs w:val="24"/>
        </w:rPr>
        <w:t>33</w:t>
      </w:r>
      <w:r w:rsidRPr="00AF7EE2">
        <w:rPr>
          <w:sz w:val="24"/>
          <w:szCs w:val="24"/>
        </w:rPr>
        <w:t>.</w:t>
      </w:r>
      <w:r w:rsidR="001D488C">
        <w:rPr>
          <w:sz w:val="24"/>
          <w:szCs w:val="24"/>
        </w:rPr>
        <w:t>807</w:t>
      </w:r>
      <w:r w:rsidR="00CC3614">
        <w:rPr>
          <w:sz w:val="24"/>
          <w:szCs w:val="24"/>
        </w:rPr>
        <w:t>,</w:t>
      </w:r>
      <w:r w:rsidR="001D488C">
        <w:rPr>
          <w:sz w:val="24"/>
          <w:szCs w:val="24"/>
        </w:rPr>
        <w:t>32</w:t>
      </w:r>
      <w:r w:rsidRPr="00AF7EE2">
        <w:rPr>
          <w:sz w:val="24"/>
          <w:szCs w:val="24"/>
        </w:rPr>
        <w:t xml:space="preserve"> EUR</w:t>
      </w:r>
      <w:r w:rsidR="007C25C8" w:rsidRPr="00AF7EE2">
        <w:rPr>
          <w:sz w:val="24"/>
          <w:szCs w:val="24"/>
        </w:rPr>
        <w:t>.</w:t>
      </w:r>
    </w:p>
    <w:p w14:paraId="41C7F447" w14:textId="77777777" w:rsidR="00F20153" w:rsidRPr="00AF7EE2" w:rsidRDefault="00F20153" w:rsidP="00F24039">
      <w:pPr>
        <w:contextualSpacing/>
        <w:rPr>
          <w:sz w:val="24"/>
          <w:szCs w:val="24"/>
        </w:rPr>
      </w:pPr>
    </w:p>
    <w:p w14:paraId="78687C51" w14:textId="0853AA67" w:rsidR="007C25C8" w:rsidRPr="00AF7EE2" w:rsidRDefault="007C25C8" w:rsidP="007C25C8">
      <w:pPr>
        <w:pStyle w:val="ListParagraph"/>
        <w:numPr>
          <w:ilvl w:val="0"/>
          <w:numId w:val="12"/>
        </w:numPr>
        <w:rPr>
          <w:b/>
          <w:sz w:val="24"/>
          <w:szCs w:val="24"/>
        </w:rPr>
      </w:pPr>
      <w:r w:rsidRPr="00AF7EE2">
        <w:rPr>
          <w:b/>
          <w:sz w:val="24"/>
          <w:szCs w:val="24"/>
        </w:rPr>
        <w:t>POSEBNI IZVJEŠTAJI</w:t>
      </w:r>
    </w:p>
    <w:p w14:paraId="21CB89B2" w14:textId="569070DC" w:rsidR="00076066" w:rsidRPr="00AF7EE2" w:rsidRDefault="007C25C8" w:rsidP="00076066">
      <w:pPr>
        <w:pStyle w:val="NoSpacing"/>
        <w:numPr>
          <w:ilvl w:val="0"/>
          <w:numId w:val="17"/>
        </w:numPr>
        <w:rPr>
          <w:rFonts w:cstheme="minorHAnsi"/>
          <w:bCs/>
          <w:sz w:val="24"/>
          <w:szCs w:val="24"/>
          <w:lang w:val="hr-HR" w:eastAsia="hr-HR"/>
        </w:rPr>
      </w:pPr>
      <w:r w:rsidRPr="00AF7EE2">
        <w:rPr>
          <w:rFonts w:cstheme="minorHAnsi"/>
          <w:bCs/>
          <w:sz w:val="24"/>
          <w:szCs w:val="24"/>
          <w:lang w:val="hr-HR" w:eastAsia="hr-HR"/>
        </w:rPr>
        <w:t xml:space="preserve">Izvještaj o zaduživanju na domaćem i stranom tržištu novca i kapitala </w:t>
      </w:r>
      <w:r w:rsidR="00076066" w:rsidRPr="00AF7EE2">
        <w:rPr>
          <w:rFonts w:cstheme="minorHAnsi"/>
          <w:bCs/>
          <w:sz w:val="24"/>
          <w:szCs w:val="24"/>
          <w:lang w:val="hr-HR" w:eastAsia="hr-HR"/>
        </w:rPr>
        <w:t xml:space="preserve">– </w:t>
      </w:r>
    </w:p>
    <w:p w14:paraId="5AF1D64A" w14:textId="17C2A89F" w:rsidR="007C25C8" w:rsidRPr="00AF7EE2" w:rsidRDefault="007C25C8" w:rsidP="00076066">
      <w:pPr>
        <w:pStyle w:val="NoSpacing"/>
        <w:ind w:left="720"/>
        <w:rPr>
          <w:rFonts w:cstheme="minorHAnsi"/>
          <w:bCs/>
          <w:sz w:val="24"/>
          <w:szCs w:val="24"/>
          <w:lang w:val="hr-HR" w:eastAsia="hr-HR"/>
        </w:rPr>
      </w:pPr>
      <w:r w:rsidRPr="00AF7EE2">
        <w:rPr>
          <w:rFonts w:cstheme="minorHAnsi"/>
          <w:bCs/>
          <w:sz w:val="24"/>
          <w:szCs w:val="24"/>
          <w:lang w:val="hr-HR" w:eastAsia="hr-HR"/>
        </w:rPr>
        <w:t>muzej se nije zaduživao na domaćem i stranom tržištu kapitala.</w:t>
      </w:r>
    </w:p>
    <w:p w14:paraId="4DC9E08D" w14:textId="3E4854F8" w:rsidR="00076066" w:rsidRPr="00AF7EE2" w:rsidRDefault="007C25C8" w:rsidP="00076066">
      <w:pPr>
        <w:pStyle w:val="NoSpacing"/>
        <w:numPr>
          <w:ilvl w:val="0"/>
          <w:numId w:val="17"/>
        </w:numPr>
        <w:rPr>
          <w:rFonts w:cstheme="minorHAnsi"/>
          <w:bCs/>
          <w:sz w:val="24"/>
          <w:szCs w:val="24"/>
          <w:lang w:val="hr-HR" w:eastAsia="hr-HR"/>
        </w:rPr>
      </w:pPr>
      <w:r w:rsidRPr="00AF7EE2">
        <w:rPr>
          <w:rFonts w:cstheme="minorHAnsi"/>
          <w:bCs/>
          <w:sz w:val="24"/>
          <w:szCs w:val="24"/>
          <w:lang w:val="hr-HR" w:eastAsia="hr-HR"/>
        </w:rPr>
        <w:t xml:space="preserve">Izvještaj o korištenju sredstava fondova Europske unije </w:t>
      </w:r>
      <w:r w:rsidR="00076066" w:rsidRPr="00AF7EE2">
        <w:rPr>
          <w:rFonts w:cstheme="minorHAnsi"/>
          <w:bCs/>
          <w:sz w:val="24"/>
          <w:szCs w:val="24"/>
          <w:lang w:val="hr-HR" w:eastAsia="hr-HR"/>
        </w:rPr>
        <w:t>–</w:t>
      </w:r>
      <w:r w:rsidRPr="00AF7EE2">
        <w:rPr>
          <w:rFonts w:cstheme="minorHAnsi"/>
          <w:bCs/>
          <w:sz w:val="24"/>
          <w:szCs w:val="24"/>
          <w:lang w:val="hr-HR" w:eastAsia="hr-HR"/>
        </w:rPr>
        <w:t xml:space="preserve"> </w:t>
      </w:r>
    </w:p>
    <w:p w14:paraId="2A6C9761" w14:textId="75D6D582" w:rsidR="007C25C8" w:rsidRPr="00AF7EE2" w:rsidRDefault="007C25C8" w:rsidP="00076066">
      <w:pPr>
        <w:pStyle w:val="NoSpacing"/>
        <w:ind w:left="720"/>
        <w:rPr>
          <w:rFonts w:cstheme="minorHAnsi"/>
          <w:bCs/>
          <w:sz w:val="24"/>
          <w:szCs w:val="24"/>
          <w:lang w:val="hr-HR" w:eastAsia="hr-HR"/>
        </w:rPr>
      </w:pPr>
      <w:r w:rsidRPr="00AF7EE2">
        <w:rPr>
          <w:rFonts w:cstheme="minorHAnsi"/>
          <w:bCs/>
          <w:sz w:val="24"/>
          <w:szCs w:val="24"/>
          <w:lang w:val="hr-HR" w:eastAsia="hr-HR"/>
        </w:rPr>
        <w:t>muzej nije koristio sredstva fonodova Europske unije</w:t>
      </w:r>
    </w:p>
    <w:p w14:paraId="71C78931" w14:textId="4FC9E9B8" w:rsidR="00076066" w:rsidRPr="00AF7EE2" w:rsidRDefault="00076066" w:rsidP="00076066">
      <w:pPr>
        <w:pStyle w:val="NoSpacing"/>
        <w:numPr>
          <w:ilvl w:val="0"/>
          <w:numId w:val="17"/>
        </w:numPr>
        <w:rPr>
          <w:rFonts w:cstheme="minorHAnsi"/>
          <w:bCs/>
          <w:sz w:val="24"/>
          <w:szCs w:val="24"/>
          <w:lang w:val="hr-HR" w:eastAsia="hr-HR"/>
        </w:rPr>
      </w:pPr>
      <w:r w:rsidRPr="00AF7EE2">
        <w:rPr>
          <w:rFonts w:cstheme="minorHAnsi"/>
          <w:bCs/>
          <w:sz w:val="24"/>
          <w:szCs w:val="24"/>
          <w:lang w:val="hr-HR" w:eastAsia="hr-HR"/>
        </w:rPr>
        <w:t>Izvještaj o danim zajmovima i potraživanjima po danim zajmovima –</w:t>
      </w:r>
    </w:p>
    <w:p w14:paraId="213F5D87" w14:textId="10180DDD" w:rsidR="007C25C8" w:rsidRPr="00AF7EE2" w:rsidRDefault="00076066" w:rsidP="00076066">
      <w:pPr>
        <w:pStyle w:val="NoSpacing"/>
        <w:ind w:left="720"/>
        <w:rPr>
          <w:rFonts w:cstheme="minorHAnsi"/>
          <w:bCs/>
          <w:sz w:val="24"/>
          <w:szCs w:val="24"/>
          <w:lang w:val="hr-HR" w:eastAsia="hr-HR"/>
        </w:rPr>
      </w:pPr>
      <w:r w:rsidRPr="00AF7EE2">
        <w:rPr>
          <w:rFonts w:cstheme="minorHAnsi"/>
          <w:bCs/>
          <w:sz w:val="24"/>
          <w:szCs w:val="24"/>
          <w:lang w:val="hr-HR" w:eastAsia="hr-HR"/>
        </w:rPr>
        <w:t>muzej nije imao danih zajmova</w:t>
      </w:r>
    </w:p>
    <w:p w14:paraId="625289DA" w14:textId="77777777" w:rsidR="00076066" w:rsidRPr="00AF7EE2" w:rsidRDefault="00076066" w:rsidP="00076066">
      <w:pPr>
        <w:pStyle w:val="NoSpacing"/>
        <w:numPr>
          <w:ilvl w:val="0"/>
          <w:numId w:val="17"/>
        </w:numPr>
        <w:rPr>
          <w:rFonts w:cstheme="minorHAnsi"/>
          <w:bCs/>
          <w:sz w:val="24"/>
          <w:szCs w:val="24"/>
          <w:lang w:val="hr-HR" w:eastAsia="hr-HR"/>
        </w:rPr>
      </w:pPr>
      <w:r w:rsidRPr="00AF7EE2">
        <w:rPr>
          <w:rFonts w:cstheme="minorHAnsi"/>
          <w:bCs/>
          <w:sz w:val="24"/>
          <w:szCs w:val="24"/>
          <w:lang w:val="hr-HR" w:eastAsia="hr-HR"/>
        </w:rPr>
        <w:t>Izvještaj o stanju potraživanja i dospjelih obveza te o stanju potencijalnih obveza po osnovi sudskih sporova –</w:t>
      </w:r>
    </w:p>
    <w:p w14:paraId="1D223EF2" w14:textId="27084449" w:rsidR="00076066" w:rsidRPr="00AF7EE2" w:rsidRDefault="00076066" w:rsidP="00076066">
      <w:pPr>
        <w:pStyle w:val="NoSpacing"/>
        <w:ind w:left="720"/>
        <w:rPr>
          <w:rFonts w:cstheme="minorHAnsi"/>
          <w:bCs/>
          <w:sz w:val="24"/>
          <w:szCs w:val="24"/>
          <w:lang w:val="hr-HR" w:eastAsia="hr-HR"/>
        </w:rPr>
      </w:pPr>
      <w:r w:rsidRPr="00AF7EE2">
        <w:rPr>
          <w:rFonts w:cstheme="minorHAnsi"/>
          <w:bCs/>
          <w:sz w:val="24"/>
          <w:szCs w:val="24"/>
          <w:lang w:val="hr-HR" w:eastAsia="hr-HR"/>
        </w:rPr>
        <w:t>muzej n</w:t>
      </w:r>
      <w:r w:rsidR="003C39BD" w:rsidRPr="00AF7EE2">
        <w:rPr>
          <w:rFonts w:cstheme="minorHAnsi"/>
          <w:bCs/>
          <w:sz w:val="24"/>
          <w:szCs w:val="24"/>
          <w:lang w:val="hr-HR" w:eastAsia="hr-HR"/>
        </w:rPr>
        <w:t>ije imao</w:t>
      </w:r>
      <w:r w:rsidRPr="00AF7EE2">
        <w:rPr>
          <w:rFonts w:cstheme="minorHAnsi"/>
          <w:bCs/>
          <w:sz w:val="24"/>
          <w:szCs w:val="24"/>
          <w:lang w:val="hr-HR" w:eastAsia="hr-HR"/>
        </w:rPr>
        <w:t xml:space="preserve"> dospjelih i potencijalnih obveza po osnovi sudskih sporova</w:t>
      </w:r>
    </w:p>
    <w:p w14:paraId="783383C9" w14:textId="77777777" w:rsidR="00076066" w:rsidRPr="00AF7EE2" w:rsidRDefault="00076066" w:rsidP="00076066">
      <w:pPr>
        <w:pStyle w:val="NoSpacing"/>
        <w:numPr>
          <w:ilvl w:val="0"/>
          <w:numId w:val="17"/>
        </w:numPr>
        <w:rPr>
          <w:rFonts w:cstheme="minorHAnsi"/>
          <w:bCs/>
          <w:sz w:val="24"/>
          <w:szCs w:val="24"/>
          <w:lang w:val="hr-HR" w:eastAsia="hr-HR"/>
        </w:rPr>
      </w:pPr>
      <w:r w:rsidRPr="00AF7EE2">
        <w:rPr>
          <w:rFonts w:cstheme="minorHAnsi"/>
          <w:bCs/>
          <w:sz w:val="24"/>
          <w:szCs w:val="24"/>
          <w:lang w:val="hr-HR" w:eastAsia="hr-HR"/>
        </w:rPr>
        <w:t>Izvještaj o danim jamstvima i plaćanjima po protestiranim jamstvima  -</w:t>
      </w:r>
    </w:p>
    <w:p w14:paraId="50A61EA1" w14:textId="5E9BC71F" w:rsidR="00076066" w:rsidRPr="00AF7EE2" w:rsidRDefault="00076066" w:rsidP="00076066">
      <w:pPr>
        <w:pStyle w:val="NoSpacing"/>
        <w:ind w:left="720"/>
        <w:rPr>
          <w:rFonts w:cstheme="minorHAnsi"/>
          <w:bCs/>
          <w:sz w:val="24"/>
          <w:szCs w:val="24"/>
          <w:lang w:val="hr-HR" w:eastAsia="hr-HR"/>
        </w:rPr>
      </w:pPr>
      <w:r w:rsidRPr="00AF7EE2">
        <w:rPr>
          <w:rFonts w:cstheme="minorHAnsi"/>
          <w:bCs/>
          <w:sz w:val="24"/>
          <w:szCs w:val="24"/>
          <w:lang w:val="hr-HR" w:eastAsia="hr-HR"/>
        </w:rPr>
        <w:t>muzej nije davao jamstva i nije imao plaćanja po protestiranim jamstvima.</w:t>
      </w:r>
    </w:p>
    <w:p w14:paraId="1932C9BB" w14:textId="347181AC" w:rsidR="009637F1" w:rsidRPr="00AF7EE2" w:rsidRDefault="009637F1" w:rsidP="00076066">
      <w:pPr>
        <w:pStyle w:val="NoSpacing"/>
        <w:ind w:left="720"/>
        <w:rPr>
          <w:rFonts w:cstheme="minorHAnsi"/>
          <w:bCs/>
          <w:sz w:val="24"/>
          <w:szCs w:val="24"/>
          <w:lang w:val="hr-HR" w:eastAsia="hr-HR"/>
        </w:rPr>
      </w:pPr>
    </w:p>
    <w:p w14:paraId="01886E91" w14:textId="77777777" w:rsidR="003C39BD" w:rsidRPr="00AF7EE2" w:rsidRDefault="003C39BD" w:rsidP="00076066">
      <w:pPr>
        <w:pStyle w:val="NoSpacing"/>
        <w:ind w:left="720"/>
        <w:rPr>
          <w:rFonts w:cstheme="minorHAnsi"/>
          <w:bCs/>
          <w:sz w:val="24"/>
          <w:szCs w:val="24"/>
          <w:lang w:val="hr-HR" w:eastAsia="hr-HR"/>
        </w:rPr>
      </w:pPr>
    </w:p>
    <w:p w14:paraId="4B61C7D5" w14:textId="040BE81F" w:rsidR="001865D8" w:rsidRPr="00AF7EE2" w:rsidRDefault="003C39BD" w:rsidP="003C39BD">
      <w:pPr>
        <w:pStyle w:val="NoSpacing"/>
        <w:rPr>
          <w:rFonts w:cstheme="minorHAnsi"/>
          <w:bCs/>
          <w:sz w:val="24"/>
          <w:szCs w:val="24"/>
          <w:lang w:val="hr-HR" w:eastAsia="hr-HR"/>
        </w:rPr>
      </w:pPr>
      <w:r w:rsidRPr="00AF7EE2">
        <w:rPr>
          <w:rFonts w:cstheme="minorHAnsi"/>
          <w:bCs/>
          <w:sz w:val="24"/>
          <w:szCs w:val="24"/>
          <w:lang w:val="hr-HR" w:eastAsia="hr-HR"/>
        </w:rPr>
        <w:t xml:space="preserve">U Zagrebu, </w:t>
      </w:r>
      <w:r w:rsidR="002D3959">
        <w:rPr>
          <w:rFonts w:cstheme="minorHAnsi"/>
          <w:bCs/>
          <w:sz w:val="24"/>
          <w:szCs w:val="24"/>
          <w:lang w:val="hr-HR" w:eastAsia="hr-HR"/>
        </w:rPr>
        <w:t>2</w:t>
      </w:r>
      <w:r w:rsidR="001D488C">
        <w:rPr>
          <w:rFonts w:cstheme="minorHAnsi"/>
          <w:bCs/>
          <w:sz w:val="24"/>
          <w:szCs w:val="24"/>
          <w:lang w:val="hr-HR" w:eastAsia="hr-HR"/>
        </w:rPr>
        <w:t>6</w:t>
      </w:r>
      <w:r w:rsidRPr="00AF7EE2">
        <w:rPr>
          <w:rFonts w:cstheme="minorHAnsi"/>
          <w:bCs/>
          <w:sz w:val="24"/>
          <w:szCs w:val="24"/>
          <w:lang w:val="hr-HR" w:eastAsia="hr-HR"/>
        </w:rPr>
        <w:t>.0</w:t>
      </w:r>
      <w:r w:rsidR="002D3959">
        <w:rPr>
          <w:rFonts w:cstheme="minorHAnsi"/>
          <w:bCs/>
          <w:sz w:val="24"/>
          <w:szCs w:val="24"/>
          <w:lang w:val="hr-HR" w:eastAsia="hr-HR"/>
        </w:rPr>
        <w:t>3</w:t>
      </w:r>
      <w:r w:rsidRPr="00AF7EE2">
        <w:rPr>
          <w:rFonts w:cstheme="minorHAnsi"/>
          <w:bCs/>
          <w:sz w:val="24"/>
          <w:szCs w:val="24"/>
          <w:lang w:val="hr-HR" w:eastAsia="hr-HR"/>
        </w:rPr>
        <w:t>.</w:t>
      </w:r>
      <w:r w:rsidR="001865D8">
        <w:rPr>
          <w:rFonts w:cstheme="minorHAnsi"/>
          <w:bCs/>
          <w:sz w:val="24"/>
          <w:szCs w:val="24"/>
          <w:lang w:val="hr-HR" w:eastAsia="hr-HR"/>
        </w:rPr>
        <w:t>202</w:t>
      </w:r>
      <w:r w:rsidR="002D3959">
        <w:rPr>
          <w:rFonts w:cstheme="minorHAnsi"/>
          <w:bCs/>
          <w:sz w:val="24"/>
          <w:szCs w:val="24"/>
          <w:lang w:val="hr-HR" w:eastAsia="hr-HR"/>
        </w:rPr>
        <w:t>6</w:t>
      </w:r>
      <w:r w:rsidR="001865D8">
        <w:rPr>
          <w:rFonts w:cstheme="minorHAnsi"/>
          <w:bCs/>
          <w:sz w:val="24"/>
          <w:szCs w:val="24"/>
          <w:lang w:val="hr-HR" w:eastAsia="hr-HR"/>
        </w:rPr>
        <w:t>.</w:t>
      </w:r>
    </w:p>
    <w:p w14:paraId="7858ABFC" w14:textId="77777777" w:rsidR="003C39BD" w:rsidRPr="00AF7EE2" w:rsidRDefault="003C39BD" w:rsidP="003C39BD">
      <w:pPr>
        <w:pStyle w:val="NoSpacing"/>
        <w:rPr>
          <w:rFonts w:cstheme="minorHAnsi"/>
          <w:bCs/>
          <w:sz w:val="24"/>
          <w:szCs w:val="24"/>
          <w:lang w:val="hr-HR" w:eastAsia="hr-HR"/>
        </w:rPr>
      </w:pPr>
    </w:p>
    <w:p w14:paraId="4763CF70" w14:textId="77777777" w:rsidR="00732B11" w:rsidRDefault="00732B11" w:rsidP="003C39BD">
      <w:pPr>
        <w:jc w:val="right"/>
        <w:rPr>
          <w:rFonts w:eastAsia="Calibri" w:cstheme="minorHAnsi"/>
          <w:sz w:val="24"/>
          <w:szCs w:val="24"/>
          <w:lang w:eastAsia="hr-HR"/>
        </w:rPr>
      </w:pPr>
    </w:p>
    <w:p w14:paraId="673B450E" w14:textId="5E7D9646" w:rsidR="003C39BD" w:rsidRDefault="00732B11" w:rsidP="00732B11">
      <w:pPr>
        <w:jc w:val="center"/>
        <w:rPr>
          <w:rFonts w:eastAsia="Calibri" w:cstheme="minorHAnsi"/>
          <w:sz w:val="24"/>
          <w:szCs w:val="24"/>
          <w:lang w:eastAsia="hr-HR"/>
        </w:rPr>
      </w:pPr>
      <w:r>
        <w:rPr>
          <w:rFonts w:eastAsia="Calibri" w:cstheme="minorHAnsi"/>
          <w:sz w:val="24"/>
          <w:szCs w:val="24"/>
          <w:lang w:eastAsia="hr-HR"/>
        </w:rPr>
        <w:t xml:space="preserve">                                                                                                                 </w:t>
      </w:r>
      <w:r w:rsidR="003C39BD" w:rsidRPr="00AF7EE2">
        <w:rPr>
          <w:rFonts w:eastAsia="Calibri" w:cstheme="minorHAnsi"/>
          <w:sz w:val="24"/>
          <w:szCs w:val="24"/>
          <w:lang w:eastAsia="hr-HR"/>
        </w:rPr>
        <w:t>Ravnateljica</w:t>
      </w:r>
    </w:p>
    <w:p w14:paraId="12FAD6C5" w14:textId="77777777" w:rsidR="00732B11" w:rsidRDefault="00732B11" w:rsidP="00732B11">
      <w:pPr>
        <w:jc w:val="center"/>
        <w:rPr>
          <w:rFonts w:eastAsia="Calibri" w:cstheme="minorHAnsi"/>
          <w:sz w:val="24"/>
          <w:szCs w:val="24"/>
          <w:lang w:eastAsia="hr-HR"/>
        </w:rPr>
      </w:pPr>
    </w:p>
    <w:p w14:paraId="13343936" w14:textId="17A3E47E" w:rsidR="003C39BD" w:rsidRPr="00AF7EE2" w:rsidRDefault="00732B11" w:rsidP="00732B11">
      <w:pPr>
        <w:jc w:val="center"/>
        <w:rPr>
          <w:rFonts w:eastAsia="Calibri" w:cstheme="minorHAnsi"/>
          <w:sz w:val="24"/>
          <w:szCs w:val="24"/>
          <w:lang w:eastAsia="hr-HR"/>
        </w:rPr>
      </w:pPr>
      <w:r>
        <w:rPr>
          <w:rFonts w:eastAsia="Calibri" w:cstheme="minorHAnsi"/>
          <w:sz w:val="24"/>
          <w:szCs w:val="24"/>
          <w:lang w:eastAsia="hr-HR"/>
        </w:rPr>
        <w:t xml:space="preserve">                                                                                                              </w:t>
      </w:r>
      <w:r w:rsidR="003C39BD" w:rsidRPr="00AF7EE2">
        <w:rPr>
          <w:rFonts w:eastAsia="Calibri" w:cstheme="minorHAnsi"/>
          <w:sz w:val="24"/>
          <w:szCs w:val="24"/>
          <w:lang w:eastAsia="hr-HR"/>
        </w:rPr>
        <w:t xml:space="preserve">Nina Sivec </w:t>
      </w:r>
    </w:p>
    <w:p w14:paraId="36182403" w14:textId="36CCBB54" w:rsidR="009637F1" w:rsidRPr="00AF7EE2" w:rsidRDefault="009637F1" w:rsidP="00076066">
      <w:pPr>
        <w:pStyle w:val="NoSpacing"/>
        <w:ind w:left="720"/>
        <w:rPr>
          <w:rFonts w:cstheme="minorHAnsi"/>
          <w:bCs/>
          <w:sz w:val="24"/>
          <w:szCs w:val="24"/>
          <w:lang w:val="hr-HR" w:eastAsia="hr-HR"/>
        </w:rPr>
      </w:pPr>
    </w:p>
    <w:p w14:paraId="0164D309" w14:textId="1A3D10D6" w:rsidR="00820B8B" w:rsidRPr="00AF7EE2" w:rsidRDefault="00820B8B" w:rsidP="0075227A">
      <w:pPr>
        <w:contextualSpacing/>
        <w:rPr>
          <w:sz w:val="24"/>
          <w:szCs w:val="24"/>
        </w:rPr>
      </w:pPr>
    </w:p>
    <w:p w14:paraId="33BBA22E" w14:textId="4049A0A4" w:rsidR="00EA0CB6" w:rsidRPr="00AF7EE2" w:rsidRDefault="00EA0CB6" w:rsidP="0075227A">
      <w:pPr>
        <w:contextualSpacing/>
        <w:rPr>
          <w:sz w:val="24"/>
          <w:szCs w:val="24"/>
        </w:rPr>
      </w:pPr>
    </w:p>
    <w:p w14:paraId="63A49CED" w14:textId="77777777" w:rsidR="00EA0CB6" w:rsidRPr="00AF7EE2" w:rsidRDefault="00EA0CB6" w:rsidP="0075227A">
      <w:pPr>
        <w:contextualSpacing/>
        <w:rPr>
          <w:sz w:val="24"/>
          <w:szCs w:val="24"/>
        </w:rPr>
      </w:pPr>
    </w:p>
    <w:sectPr w:rsidR="00EA0CB6" w:rsidRPr="00AF7EE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A3EC27" w14:textId="77777777" w:rsidR="00C653A9" w:rsidRDefault="00C653A9" w:rsidP="00DD75C2">
      <w:pPr>
        <w:spacing w:after="0" w:line="240" w:lineRule="auto"/>
      </w:pPr>
      <w:r>
        <w:separator/>
      </w:r>
    </w:p>
  </w:endnote>
  <w:endnote w:type="continuationSeparator" w:id="0">
    <w:p w14:paraId="7DA1D203" w14:textId="77777777" w:rsidR="00C653A9" w:rsidRDefault="00C653A9" w:rsidP="00DD7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8EC58" w14:textId="77777777" w:rsidR="00DD75C2" w:rsidRDefault="00DD75C2">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6C629A">
      <w:rPr>
        <w:caps/>
        <w:noProof/>
        <w:color w:val="4472C4" w:themeColor="accent1"/>
      </w:rPr>
      <w:t>6</w:t>
    </w:r>
    <w:r>
      <w:rPr>
        <w:caps/>
        <w:noProof/>
        <w:color w:val="4472C4" w:themeColor="accent1"/>
      </w:rPr>
      <w:fldChar w:fldCharType="end"/>
    </w:r>
  </w:p>
  <w:p w14:paraId="0AE7CB29" w14:textId="77777777" w:rsidR="00DD75C2" w:rsidRDefault="00DD75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548E39" w14:textId="77777777" w:rsidR="00C653A9" w:rsidRDefault="00C653A9" w:rsidP="00DD75C2">
      <w:pPr>
        <w:spacing w:after="0" w:line="240" w:lineRule="auto"/>
      </w:pPr>
      <w:r>
        <w:separator/>
      </w:r>
    </w:p>
  </w:footnote>
  <w:footnote w:type="continuationSeparator" w:id="0">
    <w:p w14:paraId="38489862" w14:textId="77777777" w:rsidR="00C653A9" w:rsidRDefault="00C653A9" w:rsidP="00DD75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F7F3D"/>
    <w:multiLevelType w:val="hybridMultilevel"/>
    <w:tmpl w:val="EE6056BA"/>
    <w:lvl w:ilvl="0" w:tplc="041A0019">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 w15:restartNumberingAfterBreak="0">
    <w:nsid w:val="0DDB3B62"/>
    <w:multiLevelType w:val="hybridMultilevel"/>
    <w:tmpl w:val="888838F6"/>
    <w:lvl w:ilvl="0" w:tplc="551EDC4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3263DC0"/>
    <w:multiLevelType w:val="hybridMultilevel"/>
    <w:tmpl w:val="23A2680C"/>
    <w:lvl w:ilvl="0" w:tplc="257A377E">
      <w:start w:val="1"/>
      <w:numFmt w:val="upperRoman"/>
      <w:lvlText w:val="%1."/>
      <w:lvlJc w:val="left"/>
      <w:pPr>
        <w:ind w:left="1800" w:hanging="72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 w15:restartNumberingAfterBreak="0">
    <w:nsid w:val="1D25590B"/>
    <w:multiLevelType w:val="hybridMultilevel"/>
    <w:tmpl w:val="7F208162"/>
    <w:lvl w:ilvl="0" w:tplc="551EDC4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29F358C"/>
    <w:multiLevelType w:val="hybridMultilevel"/>
    <w:tmpl w:val="C32643D0"/>
    <w:lvl w:ilvl="0" w:tplc="041A0019">
      <w:start w:val="1"/>
      <w:numFmt w:val="lowerLetter"/>
      <w:lvlText w:val="%1."/>
      <w:lvlJc w:val="lef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 w15:restartNumberingAfterBreak="0">
    <w:nsid w:val="33A44B9A"/>
    <w:multiLevelType w:val="hybridMultilevel"/>
    <w:tmpl w:val="4F8AFA2E"/>
    <w:lvl w:ilvl="0" w:tplc="551EDC4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5B057C1"/>
    <w:multiLevelType w:val="hybridMultilevel"/>
    <w:tmpl w:val="A336C634"/>
    <w:lvl w:ilvl="0" w:tplc="041A0019">
      <w:start w:val="1"/>
      <w:numFmt w:val="lowerLetter"/>
      <w:lvlText w:val="%1."/>
      <w:lvlJc w:val="lef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7" w15:restartNumberingAfterBreak="0">
    <w:nsid w:val="39F953DF"/>
    <w:multiLevelType w:val="hybridMultilevel"/>
    <w:tmpl w:val="74147FE2"/>
    <w:lvl w:ilvl="0" w:tplc="9D183B9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A144EF5"/>
    <w:multiLevelType w:val="hybridMultilevel"/>
    <w:tmpl w:val="95CC5B9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D756089"/>
    <w:multiLevelType w:val="hybridMultilevel"/>
    <w:tmpl w:val="49C4458E"/>
    <w:lvl w:ilvl="0" w:tplc="15142386">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0680A6B"/>
    <w:multiLevelType w:val="hybridMultilevel"/>
    <w:tmpl w:val="B4DA8BF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54C2E66"/>
    <w:multiLevelType w:val="hybridMultilevel"/>
    <w:tmpl w:val="A2985462"/>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8257835"/>
    <w:multiLevelType w:val="hybridMultilevel"/>
    <w:tmpl w:val="7BF60204"/>
    <w:lvl w:ilvl="0" w:tplc="E528CBA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ACC2D16"/>
    <w:multiLevelType w:val="hybridMultilevel"/>
    <w:tmpl w:val="A6688290"/>
    <w:lvl w:ilvl="0" w:tplc="97D697DE">
      <w:start w:val="21"/>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4" w15:restartNumberingAfterBreak="0">
    <w:nsid w:val="50727C28"/>
    <w:multiLevelType w:val="hybridMultilevel"/>
    <w:tmpl w:val="17A8FE2E"/>
    <w:lvl w:ilvl="0" w:tplc="62F6CBB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4770753"/>
    <w:multiLevelType w:val="hybridMultilevel"/>
    <w:tmpl w:val="3ACCEFCC"/>
    <w:lvl w:ilvl="0" w:tplc="551EDC4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B2A77F4"/>
    <w:multiLevelType w:val="hybridMultilevel"/>
    <w:tmpl w:val="4B58CB7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3D455E4"/>
    <w:multiLevelType w:val="hybridMultilevel"/>
    <w:tmpl w:val="74147FE2"/>
    <w:lvl w:ilvl="0" w:tplc="9D183B9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4B16FA9"/>
    <w:multiLevelType w:val="hybridMultilevel"/>
    <w:tmpl w:val="070EEE16"/>
    <w:lvl w:ilvl="0" w:tplc="3EFA842C">
      <w:start w:val="3"/>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E8055E4"/>
    <w:multiLevelType w:val="hybridMultilevel"/>
    <w:tmpl w:val="9918C634"/>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0"/>
  </w:num>
  <w:num w:numId="2">
    <w:abstractNumId w:val="1"/>
  </w:num>
  <w:num w:numId="3">
    <w:abstractNumId w:val="5"/>
  </w:num>
  <w:num w:numId="4">
    <w:abstractNumId w:val="4"/>
  </w:num>
  <w:num w:numId="5">
    <w:abstractNumId w:val="19"/>
  </w:num>
  <w:num w:numId="6">
    <w:abstractNumId w:val="0"/>
  </w:num>
  <w:num w:numId="7">
    <w:abstractNumId w:val="6"/>
  </w:num>
  <w:num w:numId="8">
    <w:abstractNumId w:val="11"/>
  </w:num>
  <w:num w:numId="9">
    <w:abstractNumId w:val="3"/>
  </w:num>
  <w:num w:numId="10">
    <w:abstractNumId w:val="14"/>
  </w:num>
  <w:num w:numId="11">
    <w:abstractNumId w:val="2"/>
  </w:num>
  <w:num w:numId="12">
    <w:abstractNumId w:val="7"/>
  </w:num>
  <w:num w:numId="13">
    <w:abstractNumId w:val="17"/>
  </w:num>
  <w:num w:numId="14">
    <w:abstractNumId w:val="18"/>
  </w:num>
  <w:num w:numId="15">
    <w:abstractNumId w:val="9"/>
  </w:num>
  <w:num w:numId="16">
    <w:abstractNumId w:val="16"/>
  </w:num>
  <w:num w:numId="17">
    <w:abstractNumId w:val="15"/>
  </w:num>
  <w:num w:numId="18">
    <w:abstractNumId w:val="13"/>
  </w:num>
  <w:num w:numId="19">
    <w:abstractNumId w:val="8"/>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62B"/>
    <w:rsid w:val="00010D0A"/>
    <w:rsid w:val="00052842"/>
    <w:rsid w:val="00067DD6"/>
    <w:rsid w:val="00076066"/>
    <w:rsid w:val="000775E0"/>
    <w:rsid w:val="000B5AAC"/>
    <w:rsid w:val="000C2443"/>
    <w:rsid w:val="000D144C"/>
    <w:rsid w:val="000D1FA1"/>
    <w:rsid w:val="000F0258"/>
    <w:rsid w:val="001063F5"/>
    <w:rsid w:val="00114D6E"/>
    <w:rsid w:val="001471E5"/>
    <w:rsid w:val="00156DE0"/>
    <w:rsid w:val="0016556C"/>
    <w:rsid w:val="001738CF"/>
    <w:rsid w:val="00181684"/>
    <w:rsid w:val="001865D8"/>
    <w:rsid w:val="001D2615"/>
    <w:rsid w:val="001D488C"/>
    <w:rsid w:val="00214958"/>
    <w:rsid w:val="002556CC"/>
    <w:rsid w:val="00260A70"/>
    <w:rsid w:val="002A7D21"/>
    <w:rsid w:val="002B1B21"/>
    <w:rsid w:val="002C362B"/>
    <w:rsid w:val="002D3959"/>
    <w:rsid w:val="003432C8"/>
    <w:rsid w:val="00354D5A"/>
    <w:rsid w:val="00356AB0"/>
    <w:rsid w:val="00382A3B"/>
    <w:rsid w:val="003900DF"/>
    <w:rsid w:val="003B259D"/>
    <w:rsid w:val="003B71BB"/>
    <w:rsid w:val="003C208B"/>
    <w:rsid w:val="003C39BD"/>
    <w:rsid w:val="003C4A89"/>
    <w:rsid w:val="0040226B"/>
    <w:rsid w:val="00403F93"/>
    <w:rsid w:val="0041215B"/>
    <w:rsid w:val="00461311"/>
    <w:rsid w:val="00462F28"/>
    <w:rsid w:val="00473F91"/>
    <w:rsid w:val="00487044"/>
    <w:rsid w:val="004A71D5"/>
    <w:rsid w:val="004B0DA4"/>
    <w:rsid w:val="004B20C2"/>
    <w:rsid w:val="004B5BCD"/>
    <w:rsid w:val="0051794B"/>
    <w:rsid w:val="00527C2B"/>
    <w:rsid w:val="00540903"/>
    <w:rsid w:val="00563ABF"/>
    <w:rsid w:val="00570CA3"/>
    <w:rsid w:val="005D5705"/>
    <w:rsid w:val="006171A7"/>
    <w:rsid w:val="00670537"/>
    <w:rsid w:val="00676CDD"/>
    <w:rsid w:val="0069705C"/>
    <w:rsid w:val="006B6EC7"/>
    <w:rsid w:val="006C0C79"/>
    <w:rsid w:val="006C629A"/>
    <w:rsid w:val="007021C8"/>
    <w:rsid w:val="00711893"/>
    <w:rsid w:val="00725390"/>
    <w:rsid w:val="00732B11"/>
    <w:rsid w:val="0075227A"/>
    <w:rsid w:val="007C25C8"/>
    <w:rsid w:val="007D2EE6"/>
    <w:rsid w:val="007E5CCC"/>
    <w:rsid w:val="00820B8B"/>
    <w:rsid w:val="008671DA"/>
    <w:rsid w:val="008735B1"/>
    <w:rsid w:val="0089593E"/>
    <w:rsid w:val="008E06FA"/>
    <w:rsid w:val="008F734A"/>
    <w:rsid w:val="009637F1"/>
    <w:rsid w:val="00A10EF7"/>
    <w:rsid w:val="00A12688"/>
    <w:rsid w:val="00A6494B"/>
    <w:rsid w:val="00A6749F"/>
    <w:rsid w:val="00A82932"/>
    <w:rsid w:val="00AA24E2"/>
    <w:rsid w:val="00AF7EE2"/>
    <w:rsid w:val="00B33D85"/>
    <w:rsid w:val="00B514A7"/>
    <w:rsid w:val="00B65010"/>
    <w:rsid w:val="00BA020E"/>
    <w:rsid w:val="00BC0E70"/>
    <w:rsid w:val="00BE2F9B"/>
    <w:rsid w:val="00BF39A5"/>
    <w:rsid w:val="00C12018"/>
    <w:rsid w:val="00C5757F"/>
    <w:rsid w:val="00C653A9"/>
    <w:rsid w:val="00CA378B"/>
    <w:rsid w:val="00CA7617"/>
    <w:rsid w:val="00CC3614"/>
    <w:rsid w:val="00D20F3F"/>
    <w:rsid w:val="00D816A5"/>
    <w:rsid w:val="00DA0FFB"/>
    <w:rsid w:val="00DA1FC4"/>
    <w:rsid w:val="00DA4C2B"/>
    <w:rsid w:val="00DB12E2"/>
    <w:rsid w:val="00DC6A8A"/>
    <w:rsid w:val="00DD1569"/>
    <w:rsid w:val="00DD75C2"/>
    <w:rsid w:val="00DF3D4E"/>
    <w:rsid w:val="00E302FC"/>
    <w:rsid w:val="00E5324B"/>
    <w:rsid w:val="00E7014B"/>
    <w:rsid w:val="00E77C7C"/>
    <w:rsid w:val="00E8129E"/>
    <w:rsid w:val="00E90DD7"/>
    <w:rsid w:val="00E974B2"/>
    <w:rsid w:val="00EA0CB6"/>
    <w:rsid w:val="00EC502E"/>
    <w:rsid w:val="00EF4A17"/>
    <w:rsid w:val="00F0146F"/>
    <w:rsid w:val="00F078CE"/>
    <w:rsid w:val="00F17B06"/>
    <w:rsid w:val="00F20153"/>
    <w:rsid w:val="00F24039"/>
    <w:rsid w:val="00F577F1"/>
    <w:rsid w:val="00F647FB"/>
    <w:rsid w:val="00F75E32"/>
    <w:rsid w:val="00FA04CD"/>
    <w:rsid w:val="00FC3550"/>
    <w:rsid w:val="00FC5EA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BA5DC"/>
  <w15:chartTrackingRefBased/>
  <w15:docId w15:val="{6BECBCFA-C18D-4036-ABF0-987A2F03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705C"/>
    <w:pPr>
      <w:ind w:left="720"/>
      <w:contextualSpacing/>
    </w:pPr>
  </w:style>
  <w:style w:type="paragraph" w:styleId="NoSpacing">
    <w:name w:val="No Spacing"/>
    <w:uiPriority w:val="1"/>
    <w:qFormat/>
    <w:rsid w:val="007C25C8"/>
    <w:pPr>
      <w:spacing w:after="0" w:line="240" w:lineRule="auto"/>
    </w:pPr>
    <w:rPr>
      <w:lang w:val="en-GB"/>
    </w:rPr>
  </w:style>
  <w:style w:type="paragraph" w:styleId="Header">
    <w:name w:val="header"/>
    <w:basedOn w:val="Normal"/>
    <w:link w:val="HeaderChar"/>
    <w:uiPriority w:val="99"/>
    <w:unhideWhenUsed/>
    <w:rsid w:val="00DD75C2"/>
    <w:pPr>
      <w:tabs>
        <w:tab w:val="center" w:pos="4536"/>
        <w:tab w:val="right" w:pos="9072"/>
      </w:tabs>
      <w:spacing w:after="0" w:line="240" w:lineRule="auto"/>
    </w:pPr>
  </w:style>
  <w:style w:type="character" w:customStyle="1" w:styleId="HeaderChar">
    <w:name w:val="Header Char"/>
    <w:basedOn w:val="DefaultParagraphFont"/>
    <w:link w:val="Header"/>
    <w:uiPriority w:val="99"/>
    <w:rsid w:val="00DD75C2"/>
  </w:style>
  <w:style w:type="paragraph" w:styleId="Footer">
    <w:name w:val="footer"/>
    <w:basedOn w:val="Normal"/>
    <w:link w:val="FooterChar"/>
    <w:uiPriority w:val="99"/>
    <w:unhideWhenUsed/>
    <w:rsid w:val="00DD75C2"/>
    <w:pPr>
      <w:tabs>
        <w:tab w:val="center" w:pos="4536"/>
        <w:tab w:val="right" w:pos="9072"/>
      </w:tabs>
      <w:spacing w:after="0" w:line="240" w:lineRule="auto"/>
    </w:pPr>
  </w:style>
  <w:style w:type="character" w:customStyle="1" w:styleId="FooterChar">
    <w:name w:val="Footer Char"/>
    <w:basedOn w:val="DefaultParagraphFont"/>
    <w:link w:val="Footer"/>
    <w:uiPriority w:val="99"/>
    <w:rsid w:val="00DD75C2"/>
  </w:style>
  <w:style w:type="paragraph" w:styleId="NormalWeb">
    <w:name w:val="Normal (Web)"/>
    <w:basedOn w:val="Normal"/>
    <w:uiPriority w:val="99"/>
    <w:semiHidden/>
    <w:unhideWhenUsed/>
    <w:rsid w:val="007021C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ydpab3ed708msonormal">
    <w:name w:val="ydpab3ed708msonormal"/>
    <w:basedOn w:val="Normal"/>
    <w:rsid w:val="007021C8"/>
    <w:pPr>
      <w:spacing w:before="100" w:beforeAutospacing="1" w:after="100" w:afterAutospacing="1" w:line="240" w:lineRule="auto"/>
    </w:pPr>
    <w:rPr>
      <w:rFonts w:ascii="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1471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1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548192">
      <w:bodyDiv w:val="1"/>
      <w:marLeft w:val="0"/>
      <w:marRight w:val="0"/>
      <w:marTop w:val="0"/>
      <w:marBottom w:val="0"/>
      <w:divBdr>
        <w:top w:val="none" w:sz="0" w:space="0" w:color="auto"/>
        <w:left w:val="none" w:sz="0" w:space="0" w:color="auto"/>
        <w:bottom w:val="none" w:sz="0" w:space="0" w:color="auto"/>
        <w:right w:val="none" w:sz="0" w:space="0" w:color="auto"/>
      </w:divBdr>
    </w:div>
    <w:div w:id="298192643">
      <w:bodyDiv w:val="1"/>
      <w:marLeft w:val="0"/>
      <w:marRight w:val="0"/>
      <w:marTop w:val="0"/>
      <w:marBottom w:val="0"/>
      <w:divBdr>
        <w:top w:val="none" w:sz="0" w:space="0" w:color="auto"/>
        <w:left w:val="none" w:sz="0" w:space="0" w:color="auto"/>
        <w:bottom w:val="none" w:sz="0" w:space="0" w:color="auto"/>
        <w:right w:val="none" w:sz="0" w:space="0" w:color="auto"/>
      </w:divBdr>
    </w:div>
    <w:div w:id="671177544">
      <w:bodyDiv w:val="1"/>
      <w:marLeft w:val="0"/>
      <w:marRight w:val="0"/>
      <w:marTop w:val="0"/>
      <w:marBottom w:val="0"/>
      <w:divBdr>
        <w:top w:val="none" w:sz="0" w:space="0" w:color="auto"/>
        <w:left w:val="none" w:sz="0" w:space="0" w:color="auto"/>
        <w:bottom w:val="none" w:sz="0" w:space="0" w:color="auto"/>
        <w:right w:val="none" w:sz="0" w:space="0" w:color="auto"/>
      </w:divBdr>
    </w:div>
    <w:div w:id="742987207">
      <w:bodyDiv w:val="1"/>
      <w:marLeft w:val="0"/>
      <w:marRight w:val="0"/>
      <w:marTop w:val="0"/>
      <w:marBottom w:val="0"/>
      <w:divBdr>
        <w:top w:val="none" w:sz="0" w:space="0" w:color="auto"/>
        <w:left w:val="none" w:sz="0" w:space="0" w:color="auto"/>
        <w:bottom w:val="none" w:sz="0" w:space="0" w:color="auto"/>
        <w:right w:val="none" w:sz="0" w:space="0" w:color="auto"/>
      </w:divBdr>
    </w:div>
    <w:div w:id="759178894">
      <w:bodyDiv w:val="1"/>
      <w:marLeft w:val="0"/>
      <w:marRight w:val="0"/>
      <w:marTop w:val="0"/>
      <w:marBottom w:val="0"/>
      <w:divBdr>
        <w:top w:val="none" w:sz="0" w:space="0" w:color="auto"/>
        <w:left w:val="none" w:sz="0" w:space="0" w:color="auto"/>
        <w:bottom w:val="none" w:sz="0" w:space="0" w:color="auto"/>
        <w:right w:val="none" w:sz="0" w:space="0" w:color="auto"/>
      </w:divBdr>
    </w:div>
    <w:div w:id="813058854">
      <w:bodyDiv w:val="1"/>
      <w:marLeft w:val="0"/>
      <w:marRight w:val="0"/>
      <w:marTop w:val="0"/>
      <w:marBottom w:val="0"/>
      <w:divBdr>
        <w:top w:val="none" w:sz="0" w:space="0" w:color="auto"/>
        <w:left w:val="none" w:sz="0" w:space="0" w:color="auto"/>
        <w:bottom w:val="none" w:sz="0" w:space="0" w:color="auto"/>
        <w:right w:val="none" w:sz="0" w:space="0" w:color="auto"/>
      </w:divBdr>
    </w:div>
    <w:div w:id="1002468893">
      <w:bodyDiv w:val="1"/>
      <w:marLeft w:val="0"/>
      <w:marRight w:val="0"/>
      <w:marTop w:val="0"/>
      <w:marBottom w:val="0"/>
      <w:divBdr>
        <w:top w:val="none" w:sz="0" w:space="0" w:color="auto"/>
        <w:left w:val="none" w:sz="0" w:space="0" w:color="auto"/>
        <w:bottom w:val="none" w:sz="0" w:space="0" w:color="auto"/>
        <w:right w:val="none" w:sz="0" w:space="0" w:color="auto"/>
      </w:divBdr>
    </w:div>
    <w:div w:id="1233353990">
      <w:bodyDiv w:val="1"/>
      <w:marLeft w:val="0"/>
      <w:marRight w:val="0"/>
      <w:marTop w:val="0"/>
      <w:marBottom w:val="0"/>
      <w:divBdr>
        <w:top w:val="none" w:sz="0" w:space="0" w:color="auto"/>
        <w:left w:val="none" w:sz="0" w:space="0" w:color="auto"/>
        <w:bottom w:val="none" w:sz="0" w:space="0" w:color="auto"/>
        <w:right w:val="none" w:sz="0" w:space="0" w:color="auto"/>
      </w:divBdr>
    </w:div>
    <w:div w:id="211944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AB98E-DBE2-449E-9A70-929530127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1280</TotalTime>
  <Pages>7</Pages>
  <Words>2526</Words>
  <Characters>14403</Characters>
  <Application>Microsoft Office Word</Application>
  <DocSecurity>0</DocSecurity>
  <Lines>120</Lines>
  <Paragraphs>33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Jadranka Matasić</dc:creator>
  <cp:keywords/>
  <dc:description/>
  <cp:lastModifiedBy>Jadranka Matasić</cp:lastModifiedBy>
  <cp:revision>9</cp:revision>
  <cp:lastPrinted>2026-03-26T09:43:00Z</cp:lastPrinted>
  <dcterms:created xsi:type="dcterms:W3CDTF">2026-03-25T12:22:00Z</dcterms:created>
  <dcterms:modified xsi:type="dcterms:W3CDTF">2026-03-30T12:19:00Z</dcterms:modified>
</cp:coreProperties>
</file>